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90326.htm"/>
      <w:bookmarkStart w:id="1" w:name="ksf8k_0903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September 3, 2026</w:t>
      </w:r>
    </w:p>
    <w:p>
      <w:pPr>
        <w:pStyle w:val="TextBody"/>
        <w:bidi w:val="0"/>
        <w:jc w:val="center"/>
        <w:rPr/>
      </w:pPr>
      <w:r>
        <w:rPr/>
        <w:t>_______________________________</w:t>
      </w:r>
    </w:p>
    <w:p>
      <w:pPr>
        <w:pStyle w:val="TextBody"/>
        <w:bidi w:val="0"/>
        <w:spacing w:before="120" w:after="283"/>
        <w:jc w:val="center"/>
        <w:rPr>
          <w:b/>
          <w:sz w:val="24"/>
        </w:rPr>
      </w:pPr>
      <w:r>
        <w:rPr>
          <w:b/>
          <w:sz w:val="24"/>
        </w:rPr>
        <w:t>Quanex Building Products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001-33913</w:t>
            </w:r>
          </w:p>
        </w:tc>
        <w:tc>
          <w:tcPr>
            <w:tcW w:w="2900" w:type="dxa"/>
            <w:tcBorders/>
            <w:vAlign w:val="center"/>
          </w:tcPr>
          <w:p>
            <w:pPr>
              <w:pStyle w:val="TableContents"/>
              <w:bidi w:val="0"/>
              <w:spacing w:before="0" w:after="283"/>
              <w:jc w:val="center"/>
              <w:rPr>
                <w:b/>
                <w:sz w:val="20"/>
              </w:rPr>
            </w:pPr>
            <w:r>
              <w:rPr>
                <w:b/>
                <w:sz w:val="20"/>
              </w:rPr>
              <w:t>26-1561397</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945 Bunker Hill Road, Suite 900</w:t>
      </w:r>
    </w:p>
    <w:p>
      <w:pPr>
        <w:pStyle w:val="TextBody"/>
        <w:bidi w:val="0"/>
        <w:spacing w:before="0" w:after="0"/>
        <w:jc w:val="center"/>
        <w:rPr>
          <w:b/>
          <w:sz w:val="20"/>
        </w:rPr>
      </w:pPr>
      <w:r>
        <w:rPr>
          <w:b/>
          <w:sz w:val="20"/>
        </w:rPr>
        <w:t>Houston, Texas 77024</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(713) 961-4600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505" w:type="dxa"/>
        <w:jc w:val="left"/>
        <w:tblInd w:w="0" w:type="dxa"/>
        <w:tblLayout w:type="fixed"/>
        <w:tblCellMar>
          <w:top w:w="0" w:type="dxa"/>
          <w:left w:w="0" w:type="dxa"/>
          <w:bottom w:w="28" w:type="dxa"/>
          <w:right w:w="0" w:type="dxa"/>
        </w:tblCellMar>
      </w:tblPr>
      <w:tblGrid>
        <w:gridCol w:w="3395"/>
        <w:gridCol w:w="1535"/>
        <w:gridCol w:w="3575"/>
      </w:tblGrid>
      <w:tr>
        <w:trPr/>
        <w:tc>
          <w:tcPr>
            <w:tcW w:w="339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395" w:type="dxa"/>
            <w:tcBorders/>
            <w:tcMar>
              <w:bottom w:w="0" w:type="dxa"/>
            </w:tcMar>
            <w:vAlign w:val="center"/>
          </w:tcPr>
          <w:p>
            <w:pPr>
              <w:pStyle w:val="TableContents"/>
              <w:bidi w:val="0"/>
              <w:spacing w:before="0" w:after="283"/>
              <w:jc w:val="center"/>
              <w:rPr>
                <w:sz w:val="20"/>
              </w:rPr>
            </w:pPr>
            <w:r>
              <w:rPr>
                <w:sz w:val="20"/>
              </w:rPr>
              <w:t>Common Stock, par value $0.01 per share</w:t>
            </w:r>
          </w:p>
        </w:tc>
        <w:tc>
          <w:tcPr>
            <w:tcW w:w="1535" w:type="dxa"/>
            <w:tcBorders/>
            <w:tcMar>
              <w:bottom w:w="0" w:type="dxa"/>
            </w:tcMar>
            <w:vAlign w:val="center"/>
          </w:tcPr>
          <w:p>
            <w:pPr>
              <w:pStyle w:val="TableContents"/>
              <w:bidi w:val="0"/>
              <w:spacing w:before="0" w:after="283"/>
              <w:jc w:val="center"/>
              <w:rPr>
                <w:sz w:val="20"/>
              </w:rPr>
            </w:pPr>
            <w:r>
              <w:rPr>
                <w:sz w:val="20"/>
              </w:rPr>
              <w:t>NX</w:t>
            </w:r>
          </w:p>
        </w:tc>
        <w:tc>
          <w:tcPr>
            <w:tcW w:w="3575" w:type="dxa"/>
            <w:tcBorders/>
            <w:tcMar>
              <w:bottom w:w="0" w:type="dxa"/>
            </w:tcMar>
            <w:vAlign w:val="center"/>
          </w:tcPr>
          <w:p>
            <w:pPr>
              <w:pStyle w:val="TableContents"/>
              <w:bidi w:val="0"/>
              <w:spacing w:before="0" w:after="283"/>
              <w:jc w:val="center"/>
              <w:rPr>
                <w:sz w:val="20"/>
              </w:rPr>
            </w:pPr>
            <w:r>
              <w:rPr>
                <w:sz w:val="20"/>
              </w:rPr>
              <w:t>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jc w:val="left"/>
        <w:rPr>
          <w:sz w:val="20"/>
        </w:rPr>
      </w:pPr>
      <w:r>
        <w:rPr>
          <w:sz w:val="20"/>
        </w:rPr>
        <w:t>On September 3, 2026, the Registrant issued a press release, a copy of which is attached hereto as Exhibit 99.1 and is incorporated herein by reference.</w:t>
      </w:r>
    </w:p>
    <w:p>
      <w:pPr>
        <w:pStyle w:val="TextBody"/>
        <w:bidi w:val="0"/>
        <w:spacing w:before="0" w:after="283"/>
        <w:jc w:val="left"/>
        <w:rPr/>
      </w:pPr>
      <w:r>
        <w:rPr/>
        <w:t> </w:t>
      </w:r>
    </w:p>
    <w:p>
      <w:pPr>
        <w:pStyle w:val="TextBody"/>
        <w:bidi w:val="0"/>
        <w:spacing w:before="0" w:after="0"/>
        <w:jc w:val="left"/>
        <w:rPr/>
      </w:pPr>
      <w:r>
        <w:rPr>
          <w:rStyle w:val="StrongEmphasis"/>
          <w:sz w:val="20"/>
        </w:rPr>
        <w:t>Item 9.01. Financial Statements and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September 3,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r>
        <w:trPr/>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379" w:type="dxa"/>
        <w:jc w:val="left"/>
        <w:tblInd w:w="0" w:type="dxa"/>
        <w:tblLayout w:type="fixed"/>
        <w:tblCellMar>
          <w:top w:w="0" w:type="dxa"/>
          <w:left w:w="0" w:type="dxa"/>
          <w:bottom w:w="0" w:type="dxa"/>
          <w:right w:w="0" w:type="dxa"/>
        </w:tblCellMar>
      </w:tblPr>
      <w:tblGrid>
        <w:gridCol w:w="2015"/>
        <w:gridCol w:w="485"/>
        <w:gridCol w:w="2879"/>
      </w:tblGrid>
      <w:tr>
        <w:trPr/>
        <w:tc>
          <w:tcPr>
            <w:tcW w:w="201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sz w:val="20"/>
              </w:rPr>
            </w:pPr>
            <w:r>
              <w:rPr>
                <w:b/>
                <w:sz w:val="20"/>
              </w:rPr>
              <w:t>Quanex Building Products Corporation</w:t>
            </w:r>
          </w:p>
        </w:tc>
      </w:tr>
      <w:tr>
        <w:trPr/>
        <w:tc>
          <w:tcPr>
            <w:tcW w:w="201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20"/>
              </w:rPr>
            </w:pPr>
            <w:r>
              <w:rPr>
                <w:sz w:val="20"/>
              </w:rPr>
              <w:t>Date: September 3, 2026</w:t>
            </w:r>
          </w:p>
        </w:tc>
        <w:tc>
          <w:tcPr>
            <w:tcW w:w="485" w:type="dxa"/>
            <w:tcBorders/>
            <w:vAlign w:val="center"/>
          </w:tcPr>
          <w:p>
            <w:pPr>
              <w:pStyle w:val="TableContents"/>
              <w:bidi w:val="0"/>
              <w:spacing w:before="0" w:after="283"/>
              <w:jc w:val="left"/>
              <w:rPr>
                <w:sz w:val="20"/>
              </w:rPr>
            </w:pPr>
            <w:r>
              <w:rPr>
                <w:sz w:val="20"/>
              </w:rPr>
              <w:t>By: </w:t>
            </w:r>
          </w:p>
        </w:tc>
        <w:tc>
          <w:tcPr>
            <w:tcW w:w="2879" w:type="dxa"/>
            <w:tcBorders/>
            <w:vAlign w:val="center"/>
          </w:tcPr>
          <w:p>
            <w:pPr>
              <w:pStyle w:val="TableContents"/>
              <w:bidi w:val="0"/>
              <w:spacing w:before="0" w:after="283"/>
              <w:jc w:val="left"/>
              <w:rPr>
                <w:sz w:val="20"/>
                <w:u w:val="single"/>
              </w:rPr>
            </w:pPr>
            <w:r>
              <w:rPr>
                <w:sz w:val="20"/>
                <w:u w:val="single"/>
              </w:rPr>
              <w:t>/s/ SCOTT ZUEHLKE        </w:t>
            </w:r>
          </w:p>
        </w:tc>
      </w:tr>
      <w:tr>
        <w:trPr/>
        <w:tc>
          <w:tcPr>
            <w:tcW w:w="201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20"/>
              </w:rPr>
            </w:pPr>
            <w:r>
              <w:rPr>
                <w:sz w:val="20"/>
              </w:rPr>
              <w:t>Scott Zuehlke</w:t>
            </w:r>
          </w:p>
        </w:tc>
      </w:tr>
      <w:tr>
        <w:trPr/>
        <w:tc>
          <w:tcPr>
            <w:tcW w:w="201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20"/>
              </w:rPr>
            </w:pPr>
            <w:r>
              <w:rPr>
                <w:sz w:val="20"/>
              </w:rPr>
              <w:t>SVP, CFO and Treasurer</w:t>
            </w:r>
          </w:p>
        </w:tc>
      </w:tr>
      <w:tr>
        <w:trPr/>
        <w:tc>
          <w:tcPr>
            <w:tcW w:w="201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Quanex Building Products Announces Third Quarter 2026 Results</w:t>
      </w:r>
    </w:p>
    <w:p>
      <w:pPr>
        <w:pStyle w:val="TextBody"/>
        <w:bidi w:val="0"/>
        <w:jc w:val="center"/>
        <w:rPr/>
      </w:pPr>
      <w:r>
        <w:rPr>
          <w:rStyle w:val="StrongEmphasis"/>
        </w:rPr>
        <w:t>Net Sales Growth</w:t>
      </w:r>
      <w:r>
        <w:rPr/>
        <w:br/>
      </w:r>
      <w:r>
        <w:rPr>
          <w:rStyle w:val="StrongEmphasis"/>
        </w:rPr>
        <w:t>Volumes Continue to Track Normal Seasonality Patterns</w:t>
      </w:r>
      <w:r>
        <w:rPr/>
        <w:br/>
      </w:r>
      <w:r>
        <w:rPr>
          <w:rStyle w:val="StrongEmphasis"/>
        </w:rPr>
        <w:t>Margin Expansion Realized in Hardware Solutions Segment and on Consolidated Basis</w:t>
      </w:r>
      <w:r>
        <w:rPr/>
        <w:br/>
      </w:r>
      <w:r>
        <w:rPr>
          <w:rStyle w:val="StrongEmphasis"/>
        </w:rPr>
        <w:t>$42.25 Million of Debt Repaid in 3Q26</w:t>
      </w:r>
      <w:r>
        <w:rPr/>
        <w:br/>
      </w:r>
      <w:r>
        <w:rPr>
          <w:rStyle w:val="StrongEmphasis"/>
        </w:rPr>
        <w:t>Continued Progress and Execution on Working Capital Management</w:t>
      </w:r>
    </w:p>
    <w:p>
      <w:pPr>
        <w:pStyle w:val="TextBody"/>
        <w:bidi w:val="0"/>
        <w:jc w:val="both"/>
        <w:rPr/>
      </w:pPr>
      <w:r>
        <w:rPr/>
        <w:t xml:space="preserve">HOUSTON, Sept. 03, 2026 (GLOBE NEWSWIRE) -- </w:t>
      </w:r>
      <w:r>
        <w:rPr>
          <w:rStyle w:val="StrongEmphasis"/>
          <w:u w:val="single"/>
        </w:rPr>
        <w:t>Quanex Building Products Corporation</w:t>
      </w:r>
      <w:r>
        <w:rPr/>
        <w:t xml:space="preserve"> (NYSE:NX) (“Quanex” or the “Company”) today announced its results for the three months ended July 31, 2026.  </w:t>
      </w:r>
    </w:p>
    <w:p>
      <w:pPr>
        <w:pStyle w:val="TextBody"/>
        <w:bidi w:val="0"/>
        <w:jc w:val="both"/>
        <w:rPr/>
      </w:pPr>
      <w:r>
        <w:rPr/>
        <w:t>The Company reported the following selected financial results:</w:t>
      </w:r>
    </w:p>
    <w:tbl>
      <w:tblPr>
        <w:tblW w:w="10205" w:type="dxa"/>
        <w:jc w:val="left"/>
        <w:tblInd w:w="0" w:type="dxa"/>
        <w:tblLayout w:type="fixed"/>
        <w:tblCellMar>
          <w:top w:w="28" w:type="dxa"/>
          <w:left w:w="28" w:type="dxa"/>
          <w:bottom w:w="28" w:type="dxa"/>
          <w:right w:w="28" w:type="dxa"/>
        </w:tblCellMar>
      </w:tblPr>
      <w:tblGrid>
        <w:gridCol w:w="3760"/>
        <w:gridCol w:w="146"/>
        <w:gridCol w:w="1306"/>
        <w:gridCol w:w="248"/>
        <w:gridCol w:w="1560"/>
        <w:gridCol w:w="146"/>
        <w:gridCol w:w="1379"/>
        <w:gridCol w:w="212"/>
        <w:gridCol w:w="1448"/>
      </w:tblGrid>
      <w:tr>
        <w:trPr/>
        <w:tc>
          <w:tcPr>
            <w:tcW w:w="3760"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3114"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July 31,</w:t>
            </w:r>
          </w:p>
        </w:tc>
        <w:tc>
          <w:tcPr>
            <w:tcW w:w="146" w:type="dxa"/>
            <w:tcBorders/>
            <w:vAlign w:val="center"/>
          </w:tcPr>
          <w:p>
            <w:pPr>
              <w:pStyle w:val="TableContents"/>
              <w:bidi w:val="0"/>
              <w:spacing w:before="0" w:after="283"/>
              <w:jc w:val="left"/>
              <w:rPr/>
            </w:pPr>
            <w:r>
              <w:rPr/>
              <w:t> </w:t>
            </w:r>
          </w:p>
        </w:tc>
        <w:tc>
          <w:tcPr>
            <w:tcW w:w="3039"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July 31,</w:t>
            </w:r>
          </w:p>
        </w:tc>
      </w:tr>
      <w:tr>
        <w:trPr/>
        <w:tc>
          <w:tcPr>
            <w:tcW w:w="3760" w:type="dxa"/>
            <w:tcBorders/>
            <w:vAlign w:val="center"/>
          </w:tcPr>
          <w:p>
            <w:pPr>
              <w:pStyle w:val="TableContents"/>
              <w:bidi w:val="0"/>
              <w:spacing w:before="0" w:after="283"/>
              <w:jc w:val="left"/>
              <w:rPr/>
            </w:pPr>
            <w:r>
              <w:rPr/>
              <w:t>($ in millions, except per share data)</w:t>
            </w:r>
          </w:p>
        </w:tc>
        <w:tc>
          <w:tcPr>
            <w:tcW w:w="146" w:type="dxa"/>
            <w:tcBorders/>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248" w:type="dxa"/>
            <w:tcBorders/>
            <w:vAlign w:val="center"/>
          </w:tcPr>
          <w:p>
            <w:pPr>
              <w:pStyle w:val="TableContents"/>
              <w:bidi w:val="0"/>
              <w:spacing w:before="0" w:after="283"/>
              <w:jc w:val="center"/>
              <w:rPr/>
            </w:pPr>
            <w:r>
              <w:rPr/>
              <w:t> </w:t>
            </w:r>
          </w:p>
        </w:tc>
        <w:tc>
          <w:tcPr>
            <w:tcW w:w="15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left"/>
              <w:rPr/>
            </w:pPr>
            <w:r>
              <w:rPr/>
              <w:t> </w:t>
            </w:r>
          </w:p>
        </w:tc>
        <w:tc>
          <w:tcPr>
            <w:tcW w:w="137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212" w:type="dxa"/>
            <w:tcBorders/>
            <w:vAlign w:val="center"/>
          </w:tcPr>
          <w:p>
            <w:pPr>
              <w:pStyle w:val="TableContents"/>
              <w:bidi w:val="0"/>
              <w:spacing w:before="0" w:after="283"/>
              <w:jc w:val="center"/>
              <w:rPr/>
            </w:pPr>
            <w:r>
              <w:rPr/>
              <w:t> </w:t>
            </w:r>
          </w:p>
        </w:tc>
        <w:tc>
          <w:tcPr>
            <w:tcW w:w="14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3760" w:type="dxa"/>
            <w:tcBorders/>
            <w:vAlign w:val="center"/>
          </w:tcPr>
          <w:p>
            <w:pPr>
              <w:pStyle w:val="TableContents"/>
              <w:bidi w:val="0"/>
              <w:spacing w:before="0" w:after="283"/>
              <w:jc w:val="left"/>
              <w:rPr/>
            </w:pPr>
            <w:r>
              <w:rPr/>
              <w:t>Net Sales</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$501.8</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$495.3</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$1,373.3</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$1,347.8</w:t>
            </w:r>
          </w:p>
        </w:tc>
      </w:tr>
      <w:tr>
        <w:trPr/>
        <w:tc>
          <w:tcPr>
            <w:tcW w:w="3760" w:type="dxa"/>
            <w:tcBorders/>
            <w:vAlign w:val="center"/>
          </w:tcPr>
          <w:p>
            <w:pPr>
              <w:pStyle w:val="TableContents"/>
              <w:bidi w:val="0"/>
              <w:spacing w:before="0" w:after="283"/>
              <w:jc w:val="left"/>
              <w:rPr/>
            </w:pPr>
            <w:r>
              <w:rPr/>
              <w:t>Gross Margin</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$141.5</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$138.0</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$357.8</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$361.7</w:t>
            </w:r>
          </w:p>
        </w:tc>
      </w:tr>
      <w:tr>
        <w:trPr/>
        <w:tc>
          <w:tcPr>
            <w:tcW w:w="3760" w:type="dxa"/>
            <w:tcBorders/>
            <w:tcMar>
              <w:top w:w="0" w:type="dxa"/>
              <w:left w:w="0" w:type="dxa"/>
              <w:bottom w:w="0" w:type="dxa"/>
              <w:right w:w="0" w:type="dxa"/>
            </w:tcMar>
            <w:vAlign w:val="center"/>
          </w:tcPr>
          <w:p>
            <w:pPr>
              <w:pStyle w:val="TableContents"/>
              <w:bidi w:val="0"/>
              <w:spacing w:before="0" w:after="283"/>
              <w:jc w:val="left"/>
              <w:rPr/>
            </w:pPr>
            <w:r>
              <w:rPr>
                <w:rStyle w:val="Emphasis"/>
              </w:rPr>
              <w:t>Gross Margin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rStyle w:val="Emphasis"/>
              </w:rPr>
              <w:t>28.2%</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rStyle w:val="Emphasis"/>
              </w:rPr>
              <w:t>27.9%</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rStyle w:val="Emphasis"/>
              </w:rPr>
              <w:t>26.1%</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rStyle w:val="Emphasis"/>
              </w:rPr>
              <w:t>26.8%</w:t>
            </w:r>
          </w:p>
        </w:tc>
      </w:tr>
      <w:tr>
        <w:trPr/>
        <w:tc>
          <w:tcPr>
            <w:tcW w:w="3760" w:type="dxa"/>
            <w:tcBorders/>
            <w:vAlign w:val="center"/>
          </w:tcPr>
          <w:p>
            <w:pPr>
              <w:pStyle w:val="TableContents"/>
              <w:bidi w:val="0"/>
              <w:spacing w:before="0" w:after="283"/>
              <w:jc w:val="left"/>
              <w:rPr/>
            </w:pPr>
            <w:r>
              <w:rPr/>
              <w:t>Operating Income (Loss)</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$46.5</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($270.8)</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$68.1</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($236.9)</w:t>
            </w:r>
          </w:p>
        </w:tc>
      </w:tr>
      <w:tr>
        <w:trPr/>
        <w:tc>
          <w:tcPr>
            <w:tcW w:w="3760" w:type="dxa"/>
            <w:tcBorders/>
            <w:vAlign w:val="center"/>
          </w:tcPr>
          <w:p>
            <w:pPr>
              <w:pStyle w:val="TableContents"/>
              <w:bidi w:val="0"/>
              <w:spacing w:before="0" w:after="283"/>
              <w:jc w:val="left"/>
              <w:rPr/>
            </w:pPr>
            <w:r>
              <w:rPr/>
              <w:t>Net Income (Loss)</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$26.5</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($276.0)</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$25.8</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($270.4)</w:t>
            </w:r>
          </w:p>
        </w:tc>
      </w:tr>
      <w:tr>
        <w:trPr/>
        <w:tc>
          <w:tcPr>
            <w:tcW w:w="3760" w:type="dxa"/>
            <w:tcBorders/>
            <w:vAlign w:val="center"/>
          </w:tcPr>
          <w:p>
            <w:pPr>
              <w:pStyle w:val="TableContents"/>
              <w:bidi w:val="0"/>
              <w:spacing w:before="0" w:after="283"/>
              <w:jc w:val="left"/>
              <w:rPr/>
            </w:pPr>
            <w:r>
              <w:rPr/>
              <w:t>Diluted EPS</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$0.58</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($6.04)</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$0.57</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($5.83)</w:t>
            </w:r>
          </w:p>
        </w:tc>
      </w:tr>
      <w:tr>
        <w:trPr/>
        <w:tc>
          <w:tcPr>
            <w:tcW w:w="3760"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 </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 </w:t>
            </w:r>
          </w:p>
        </w:tc>
      </w:tr>
      <w:tr>
        <w:trPr/>
        <w:tc>
          <w:tcPr>
            <w:tcW w:w="3760" w:type="dxa"/>
            <w:tcBorders/>
            <w:vAlign w:val="center"/>
          </w:tcPr>
          <w:p>
            <w:pPr>
              <w:pStyle w:val="TableContents"/>
              <w:bidi w:val="0"/>
              <w:spacing w:before="0" w:after="283"/>
              <w:jc w:val="left"/>
              <w:rPr/>
            </w:pPr>
            <w:r>
              <w:rPr/>
              <w:t>Adjusted Net Income</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$36.0</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$31.6</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$47.0</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$68.4</w:t>
            </w:r>
          </w:p>
        </w:tc>
      </w:tr>
      <w:tr>
        <w:trPr/>
        <w:tc>
          <w:tcPr>
            <w:tcW w:w="3760" w:type="dxa"/>
            <w:tcBorders/>
            <w:vAlign w:val="center"/>
          </w:tcPr>
          <w:p>
            <w:pPr>
              <w:pStyle w:val="TableContents"/>
              <w:bidi w:val="0"/>
              <w:spacing w:before="0" w:after="283"/>
              <w:jc w:val="left"/>
              <w:rPr/>
            </w:pPr>
            <w:r>
              <w:rPr/>
              <w:t>Adjusted Diluted EPS</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$0.79</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$0.69</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$1.03</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$1.47</w:t>
            </w:r>
          </w:p>
        </w:tc>
      </w:tr>
      <w:tr>
        <w:trPr/>
        <w:tc>
          <w:tcPr>
            <w:tcW w:w="3760" w:type="dxa"/>
            <w:tcBorders/>
            <w:vAlign w:val="center"/>
          </w:tcPr>
          <w:p>
            <w:pPr>
              <w:pStyle w:val="TableContents"/>
              <w:bidi w:val="0"/>
              <w:spacing w:before="0" w:after="283"/>
              <w:jc w:val="left"/>
              <w:rPr/>
            </w:pPr>
            <w:r>
              <w:rPr/>
              <w:t>Adjusted EBITDA</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$72.7</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$70.3</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$144.3</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$172.0</w:t>
            </w:r>
          </w:p>
        </w:tc>
      </w:tr>
      <w:tr>
        <w:trPr/>
        <w:tc>
          <w:tcPr>
            <w:tcW w:w="3760" w:type="dxa"/>
            <w:tcBorders/>
            <w:tcMar>
              <w:top w:w="0" w:type="dxa"/>
              <w:left w:w="0" w:type="dxa"/>
              <w:bottom w:w="0" w:type="dxa"/>
              <w:right w:w="0" w:type="dxa"/>
            </w:tcMar>
            <w:vAlign w:val="center"/>
          </w:tcPr>
          <w:p>
            <w:pPr>
              <w:pStyle w:val="TableContents"/>
              <w:bidi w:val="0"/>
              <w:spacing w:before="0" w:after="283"/>
              <w:jc w:val="left"/>
              <w:rPr/>
            </w:pPr>
            <w:r>
              <w:rPr>
                <w:rStyle w:val="Emphasis"/>
              </w:rPr>
              <w:t>Adjusted EBITDA Margin %</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rStyle w:val="Emphasis"/>
              </w:rPr>
              <w:t>14.5%</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rStyle w:val="Emphasis"/>
              </w:rPr>
              <w:t>14.2%</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rStyle w:val="Emphasis"/>
              </w:rPr>
              <w:t>10.5%</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rStyle w:val="Emphasis"/>
              </w:rPr>
              <w:t>12.8%</w:t>
            </w:r>
          </w:p>
        </w:tc>
      </w:tr>
      <w:tr>
        <w:trPr/>
        <w:tc>
          <w:tcPr>
            <w:tcW w:w="3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 </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 </w:t>
            </w:r>
          </w:p>
        </w:tc>
      </w:tr>
      <w:tr>
        <w:trPr/>
        <w:tc>
          <w:tcPr>
            <w:tcW w:w="3760" w:type="dxa"/>
            <w:tcBorders/>
            <w:vAlign w:val="center"/>
          </w:tcPr>
          <w:p>
            <w:pPr>
              <w:pStyle w:val="TableContents"/>
              <w:bidi w:val="0"/>
              <w:spacing w:before="0" w:after="283"/>
              <w:jc w:val="left"/>
              <w:rPr/>
            </w:pPr>
            <w:r>
              <w:rPr/>
              <w:t>Cash Provided By Operating Activities</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$58.6</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$60.7</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$57.3</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$76.6</w:t>
            </w:r>
          </w:p>
        </w:tc>
      </w:tr>
      <w:tr>
        <w:trPr/>
        <w:tc>
          <w:tcPr>
            <w:tcW w:w="3760" w:type="dxa"/>
            <w:tcBorders/>
            <w:vAlign w:val="center"/>
          </w:tcPr>
          <w:p>
            <w:pPr>
              <w:pStyle w:val="TableContents"/>
              <w:bidi w:val="0"/>
              <w:spacing w:before="0" w:after="283"/>
              <w:jc w:val="left"/>
              <w:rPr/>
            </w:pPr>
            <w:r>
              <w:rPr/>
              <w:t>Free Cash Flow</w:t>
            </w:r>
          </w:p>
        </w:tc>
        <w:tc>
          <w:tcPr>
            <w:tcW w:w="146" w:type="dxa"/>
            <w:tcBorders/>
            <w:vAlign w:val="center"/>
          </w:tcPr>
          <w:p>
            <w:pPr>
              <w:pStyle w:val="TableContents"/>
              <w:bidi w:val="0"/>
              <w:spacing w:before="0" w:after="283"/>
              <w:jc w:val="center"/>
              <w:rPr/>
            </w:pPr>
            <w:r>
              <w:rPr/>
              <w:t> </w:t>
            </w:r>
          </w:p>
        </w:tc>
        <w:tc>
          <w:tcPr>
            <w:tcW w:w="1306" w:type="dxa"/>
            <w:tcBorders/>
            <w:vAlign w:val="center"/>
          </w:tcPr>
          <w:p>
            <w:pPr>
              <w:pStyle w:val="TableContents"/>
              <w:bidi w:val="0"/>
              <w:spacing w:before="0" w:after="283"/>
              <w:jc w:val="center"/>
              <w:rPr/>
            </w:pPr>
            <w:r>
              <w:rPr/>
              <w:t>$47.8</w:t>
            </w:r>
          </w:p>
        </w:tc>
        <w:tc>
          <w:tcPr>
            <w:tcW w:w="248" w:type="dxa"/>
            <w:tcBorders/>
            <w:vAlign w:val="center"/>
          </w:tcPr>
          <w:p>
            <w:pPr>
              <w:pStyle w:val="TableContents"/>
              <w:bidi w:val="0"/>
              <w:spacing w:before="0" w:after="283"/>
              <w:jc w:val="center"/>
              <w:rPr/>
            </w:pPr>
            <w:r>
              <w:rPr/>
              <w:t> </w:t>
            </w:r>
          </w:p>
        </w:tc>
        <w:tc>
          <w:tcPr>
            <w:tcW w:w="1560" w:type="dxa"/>
            <w:tcBorders/>
            <w:vAlign w:val="center"/>
          </w:tcPr>
          <w:p>
            <w:pPr>
              <w:pStyle w:val="TableContents"/>
              <w:bidi w:val="0"/>
              <w:spacing w:before="0" w:after="283"/>
              <w:jc w:val="center"/>
              <w:rPr/>
            </w:pPr>
            <w:r>
              <w:rPr/>
              <w:t>$46.2</w:t>
            </w:r>
          </w:p>
        </w:tc>
        <w:tc>
          <w:tcPr>
            <w:tcW w:w="146" w:type="dxa"/>
            <w:tcBorders/>
            <w:vAlign w:val="center"/>
          </w:tcPr>
          <w:p>
            <w:pPr>
              <w:pStyle w:val="TableContents"/>
              <w:bidi w:val="0"/>
              <w:spacing w:before="0" w:after="283"/>
              <w:jc w:val="center"/>
              <w:rPr/>
            </w:pPr>
            <w:r>
              <w:rPr/>
              <w:t> </w:t>
            </w:r>
          </w:p>
        </w:tc>
        <w:tc>
          <w:tcPr>
            <w:tcW w:w="1379" w:type="dxa"/>
            <w:tcBorders/>
            <w:vAlign w:val="center"/>
          </w:tcPr>
          <w:p>
            <w:pPr>
              <w:pStyle w:val="TableContents"/>
              <w:bidi w:val="0"/>
              <w:spacing w:before="0" w:after="283"/>
              <w:jc w:val="center"/>
              <w:rPr/>
            </w:pPr>
            <w:r>
              <w:rPr/>
              <w:t>$24.2</w:t>
            </w:r>
          </w:p>
        </w:tc>
        <w:tc>
          <w:tcPr>
            <w:tcW w:w="212" w:type="dxa"/>
            <w:tcBorders/>
            <w:vAlign w:val="center"/>
          </w:tcPr>
          <w:p>
            <w:pPr>
              <w:pStyle w:val="TableContents"/>
              <w:bidi w:val="0"/>
              <w:spacing w:before="0" w:after="283"/>
              <w:jc w:val="center"/>
              <w:rPr/>
            </w:pPr>
            <w:r>
              <w:rPr/>
              <w:t> </w:t>
            </w:r>
          </w:p>
        </w:tc>
        <w:tc>
          <w:tcPr>
            <w:tcW w:w="1448" w:type="dxa"/>
            <w:tcBorders/>
            <w:vAlign w:val="center"/>
          </w:tcPr>
          <w:p>
            <w:pPr>
              <w:pStyle w:val="TableContents"/>
              <w:bidi w:val="0"/>
              <w:spacing w:before="0" w:after="283"/>
              <w:jc w:val="center"/>
              <w:rPr/>
            </w:pPr>
            <w:r>
              <w:rPr/>
              <w:t>$35.6</w:t>
            </w:r>
          </w:p>
        </w:tc>
      </w:tr>
      <w:tr>
        <w:trPr/>
        <w:tc>
          <w:tcPr>
            <w:tcW w:w="37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448" w:type="dxa"/>
            <w:tcBorders/>
            <w:vAlign w:val="center"/>
          </w:tcPr>
          <w:p>
            <w:pPr>
              <w:pStyle w:val="TableContents"/>
              <w:bidi w:val="0"/>
              <w:spacing w:before="0" w:after="283"/>
              <w:jc w:val="left"/>
              <w:rPr/>
            </w:pPr>
            <w:r>
              <w:rPr/>
              <w:t> </w:t>
            </w:r>
          </w:p>
        </w:tc>
      </w:tr>
    </w:tbl>
    <w:p>
      <w:pPr>
        <w:pStyle w:val="TextBody"/>
        <w:bidi w:val="0"/>
        <w:spacing w:before="0" w:after="283"/>
        <w:jc w:val="left"/>
        <w:rPr/>
      </w:pPr>
      <w:r>
        <w:rPr/>
        <w:t>(See Non-GAAP Terminology Definitions and Disclaimers section, Non-GAAP Financial Measure Disclosure table, Selected Segment Data table and reconciliation tables for additional information)</w:t>
      </w:r>
    </w:p>
    <w:p>
      <w:pPr>
        <w:pStyle w:val="TextBody"/>
        <w:bidi w:val="0"/>
        <w:jc w:val="both"/>
        <w:rPr/>
      </w:pPr>
      <w:r>
        <w:rPr/>
        <w:t>George Wilson, Chairman, President and Chief Executive Officer, stated, “Volumes continued to track normal seasonality patterns during the third quarter of 2026, and we made meaningful progress addressing the price versus cost imbalance that impacted our margins in the second quarter of 2026. Inflationary pressures related to macroeconomic concerns and the ongoing conflict in the Middle East are still having an impact, but the initial rate and magnitude of these pressures have somewhat subsided.</w:t>
      </w:r>
    </w:p>
    <w:p>
      <w:pPr>
        <w:pStyle w:val="TextBody"/>
        <w:bidi w:val="0"/>
        <w:jc w:val="both"/>
        <w:rPr/>
      </w:pPr>
      <w:r>
        <w:rPr/>
        <w:t>“</w:t>
      </w:r>
      <w:r>
        <w:rPr/>
        <w:t>We stayed focused on managing our working capital during the third quarter of 2026, which when coupled with the seasonal uptick in volumes, enabled us to repay $42.25 million of debt and buy back some of our shares. We will continue to prioritize repaying debt and opportunistically repurchasing our shares as we generate cash in the fourth quarter of 2026. In addition, we will continue to identify operational efficiencies and commercial synergies that we believe will benefit us when consumer confidence and demand improve.”</w:t>
      </w:r>
    </w:p>
    <w:p>
      <w:pPr>
        <w:pStyle w:val="TextBody"/>
        <w:bidi w:val="0"/>
        <w:spacing w:before="0" w:after="283"/>
        <w:jc w:val="left"/>
        <w:rPr/>
      </w:pPr>
      <w:r>
        <w:rPr>
          <w:rStyle w:val="StrongEmphasis"/>
        </w:rPr>
        <w:t>Third Quarter 2026 Results Summary</w:t>
      </w:r>
      <w:r>
        <w:rPr/>
        <w:t>   </w:t>
      </w:r>
    </w:p>
    <w:p>
      <w:pPr>
        <w:pStyle w:val="TextBody"/>
        <w:bidi w:val="0"/>
        <w:jc w:val="both"/>
        <w:rPr/>
      </w:pPr>
      <w:r>
        <w:rPr/>
        <w:t>Quanex reported net sales of $501.8 million during the three months ended July 31, 2026, which represents an increase of 1.3% compared to $495.3 million for the same period in 2025, mainly due to favorable impacts from pricing, partially offset by the impact of IEEPA tariff reimbursements to customers. The Hardware Solutions segments reported a 2.7% decline in net sales for the third quarter of 2026, driven by lower volumes and the impact of IEEPA tariff reimbursements to customers, which were somewhat offset by favorable impacts from pricing. The Extruded Solutions segments reported net sales growth of 2.8% for the third quarter of 2026, as lower volumes were more than offset by favorable impacts from pricing. Quanex reported an increase of 8.5% in net sales for the third quarter of 2026 in its Custom Solutions segment, largely due to increased volume and improved pricing. (See Sales Analysis table for additional information)</w:t>
      </w:r>
    </w:p>
    <w:p>
      <w:pPr>
        <w:pStyle w:val="TextBody"/>
        <w:bidi w:val="0"/>
        <w:jc w:val="both"/>
        <w:rPr/>
      </w:pPr>
      <w:r>
        <w:rPr/>
        <w:t>On a consolidated basis, the increase in reported earnings for the third quarter of 2026 compared to the third quarter of 2025 was mainly due to improved pricing, lower depreciation and amortization expense and lower interest expense. Results for the third quarter of 2025 were also impacted by a $302.3 million non-cash goodwill impairment.</w:t>
      </w:r>
    </w:p>
    <w:p>
      <w:pPr>
        <w:pStyle w:val="TextBody"/>
        <w:bidi w:val="0"/>
        <w:jc w:val="both"/>
        <w:rPr/>
      </w:pPr>
      <w:r>
        <w:rPr>
          <w:rStyle w:val="StrongEmphasis"/>
        </w:rPr>
        <w:t>Balance Sheet &amp; Liquidity Update</w:t>
      </w:r>
    </w:p>
    <w:p>
      <w:pPr>
        <w:pStyle w:val="TextBody"/>
        <w:bidi w:val="0"/>
        <w:jc w:val="both"/>
        <w:rPr/>
      </w:pPr>
      <w:r>
        <w:rPr/>
        <w:t>As of July 31, 2026, the Company had total debt of $672.2 million and Quanex’s leverage ratio of Net Debt to LTM Adjusted EBITDA was 2.8x. As of July 31, 2026, Quanex reported LTM Net Income of $45.4 million and LTM Adjusted EBITDA of $215.2 million (See Non-GAAP Terminology Definitions and Disclaimers section, Net Debt Reconciliation table and Last Twelve Months Adjusted EBITDA Reconciliation table for additional information)</w:t>
      </w:r>
    </w:p>
    <w:p>
      <w:pPr>
        <w:pStyle w:val="TextBody"/>
        <w:bidi w:val="0"/>
        <w:jc w:val="both"/>
        <w:rPr/>
      </w:pPr>
      <w:r>
        <w:rPr/>
        <w:t>The Company’s liquidity increased by 10.5% to $363.1 million as of July 31, 2026, consisting of $62.1 million in cash on hand plus availability under its Senior Secured Revolving Credit Facility due 2029, less letters of credit outstanding.</w:t>
      </w:r>
    </w:p>
    <w:p>
      <w:pPr>
        <w:pStyle w:val="TextBody"/>
        <w:bidi w:val="0"/>
        <w:jc w:val="both"/>
        <w:rPr/>
      </w:pPr>
      <w:r>
        <w:rPr>
          <w:rStyle w:val="StrongEmphasis"/>
        </w:rPr>
        <w:t>Share Repurchases</w:t>
      </w:r>
    </w:p>
    <w:p>
      <w:pPr>
        <w:pStyle w:val="TextBody"/>
        <w:bidi w:val="0"/>
        <w:jc w:val="both"/>
        <w:rPr/>
      </w:pPr>
      <w:r>
        <w:rPr/>
        <w:t>Quanex’s Board authorized a $75 million share repurchase program in December of 2021. Repurchases under this program will be made in open market transactions or privately negotiated transactions, subject to market conditions, applicable legal requirements, and other relevant factors. The Company repurchased 99,786 shares of common stock for approximately $1.7 million at an average price of $17.10 per share during the three months ended July 31, 2026. As of July 31, 2026, approximately $28.7 million remained under the existing share repurchase authorization.   </w:t>
      </w:r>
    </w:p>
    <w:p>
      <w:pPr>
        <w:pStyle w:val="TextBody"/>
        <w:bidi w:val="0"/>
        <w:jc w:val="both"/>
        <w:rPr/>
      </w:pPr>
      <w:r>
        <w:rPr>
          <w:rStyle w:val="StrongEmphasis"/>
        </w:rPr>
        <w:t>Conference Call and Webcast Information</w:t>
      </w:r>
    </w:p>
    <w:p>
      <w:pPr>
        <w:pStyle w:val="TextBody"/>
        <w:bidi w:val="0"/>
        <w:jc w:val="both"/>
        <w:rPr/>
      </w:pPr>
      <w:r>
        <w:rPr/>
        <w:t>The Company has scheduled a conference call for Friday, September 4, 2026, at 11:00 a.m. ET (10:00 a.m. CT) to discuss the release. A link to the live audio webcast will be available on Quanex’s website at http://www.quanex.com in the Investors section under Presentations &amp; Events.</w:t>
      </w:r>
    </w:p>
    <w:p>
      <w:pPr>
        <w:pStyle w:val="TextBody"/>
        <w:bidi w:val="0"/>
        <w:spacing w:before="0" w:after="283"/>
        <w:jc w:val="left"/>
        <w:rPr/>
      </w:pPr>
      <w:r>
        <w:rPr/>
        <w:t xml:space="preserve">Participants can pre-register for the conference call using the following link: </w:t>
        <w:br/>
        <w:t>https://register-conf.media-server.com/register/BIac7900426be941999342c141e5049229</w:t>
      </w:r>
    </w:p>
    <w:p>
      <w:pPr>
        <w:pStyle w:val="TextBody"/>
        <w:bidi w:val="0"/>
        <w:jc w:val="both"/>
        <w:rPr/>
      </w:pPr>
      <w:r>
        <w:rPr/>
        <w:t>Registered participants will receive an email containing conference call details for dial-in options. To avoid delays, it is recommended that participants dial into the conference call ten minutes ahead of the scheduled start time. A replay will be available for a limited time on the Company’s website at http://www.quanex.com in the Investors section under Presentations &amp; Events.</w:t>
      </w:r>
    </w:p>
    <w:p>
      <w:pPr>
        <w:pStyle w:val="TextBody"/>
        <w:bidi w:val="0"/>
        <w:jc w:val="both"/>
        <w:rPr/>
      </w:pPr>
      <w:r>
        <w:rPr>
          <w:rStyle w:val="StrongEmphasis"/>
        </w:rPr>
        <w:t xml:space="preserve">About Quanex </w:t>
      </w:r>
    </w:p>
    <w:p>
      <w:pPr>
        <w:pStyle w:val="TextBody"/>
        <w:bidi w:val="0"/>
        <w:jc w:val="both"/>
        <w:rPr/>
      </w:pPr>
      <w:r>
        <w:rPr/>
        <w:t>Quanex is a global manufacturer with core capabilities and broad applications across various end markets. The Company currently partners with leading OEMs to provide innovative solutions in window, door, solar, refrigeration, custom mixing, building access and cabinetry markets.  Looking ahead, Quanex plans to leverage its material science expertise and process engineering to expand into adjacent markets.</w:t>
      </w:r>
    </w:p>
    <w:p>
      <w:pPr>
        <w:pStyle w:val="TextBody"/>
        <w:bidi w:val="0"/>
        <w:jc w:val="both"/>
        <w:rPr/>
      </w:pPr>
      <w:r>
        <w:rPr>
          <w:rStyle w:val="StrongEmphasis"/>
        </w:rPr>
        <w:t>Non-GAAP Terminology Definitions and Disclaimers</w:t>
      </w:r>
    </w:p>
    <w:p>
      <w:pPr>
        <w:pStyle w:val="TextBody"/>
        <w:bidi w:val="0"/>
        <w:jc w:val="both"/>
        <w:rPr/>
      </w:pPr>
      <w:r>
        <w:rPr/>
        <w:t>Adjusted Net Income (defined as net income further adjusted to exclude amortization of step-up for purchase price adjustments on inventory, asset impairment charges, transaction, advisory fees and reorganization costs, restructuring charges related to severance and disposal of software, amortization expense related to intangible assets, pension settlement refund and other net adjustments related to foreign currency transaction gain/loss and effective tax rates reflecting impacts of adjustments on a with and without basis) and Adjusted EPS are non-GAAP financial measures that Quanex believes provide a consistent basis for comparison between periods and more accurately reflect operational performance, as they are not influenced by certain income or expense items not affecting ongoing operations. EBITDA (defined as net income or loss before interest, taxes, depreciation and amortization and other, net), Adjusted EBITDA and LTM Adjusted EBITDA (defined as EBITDA further adjusted to exclude purchase price accounting inventory step-ups, transaction costs, certain severance charges, gain/loss on the sale of certain fixed assets, restructuring charges and asset impairment charges) are non-GAAP financial measures that the Company uses to measure operational performance and assist with financial decision-making.  Net Debt is defined as total debt (outstanding balance on the revolving credit facility plus financial lease obligations) less cash and cash equivalents. The leverage ratio of Net Debt to LTM Adjusted EBITDA is a financial measure that the Company believes is useful to investors and financial analysts in evaluating Quanex’s leverage. In addition, with certain limited adjustments, this leverage ratio is the basis for a key covenant in the Company’s credit agreement.</w:t>
      </w:r>
    </w:p>
    <w:p>
      <w:pPr>
        <w:pStyle w:val="TextBody"/>
        <w:bidi w:val="0"/>
        <w:jc w:val="both"/>
        <w:rPr/>
      </w:pPr>
      <w:r>
        <w:rPr/>
        <w:t>Free Cash Flow is a non-GAAP measure calculated using cash provided by operating activities less capital expenditures. Quanex uses the Free Cash Flow metric to measure operational and cash management performance and assist with financial decision-making.   Free Cash Flow is measured before application of certain contractual commitments (including capital lease obligations), and accordingly is not a true measure of the Company’s residual cash flow available for discretionary expenditures. Quanex believes Free Cash Flow is useful to investors in understanding and evaluating the Company’s financial and cash management performance.</w:t>
      </w:r>
    </w:p>
    <w:p>
      <w:pPr>
        <w:pStyle w:val="TextBody"/>
        <w:bidi w:val="0"/>
        <w:jc w:val="both"/>
        <w:rPr/>
      </w:pPr>
      <w:r>
        <w:rPr/>
        <w:t>Quanex believes that the presented non-GAAP measures provide a consistent basis for comparison between periods and will assist investors in understanding the Company’s financial performance when comparing results to other investment opportunities.  These measures allow management and investors to evaluate operational performance and trends without the impact of certain non-cash charges, acquisition-related costs, and other items that may vary significantly from period to period and may not be reflective of Quanex’s core operating results. The presented non-GAAP measures may not be the same as those used by other companies. The Company does not intend for this information to be considered in isolation or as a substitute for other measures prepared in accordance with U.S. GAAP.</w:t>
      </w:r>
    </w:p>
    <w:p>
      <w:pPr>
        <w:pStyle w:val="TextBody"/>
        <w:bidi w:val="0"/>
        <w:jc w:val="both"/>
        <w:rPr/>
      </w:pPr>
      <w:r>
        <w:rPr>
          <w:rStyle w:val="StrongEmphasis"/>
        </w:rPr>
        <w:t>Forward Looking Statements</w:t>
      </w:r>
    </w:p>
    <w:p>
      <w:pPr>
        <w:pStyle w:val="TextBody"/>
        <w:bidi w:val="0"/>
        <w:jc w:val="both"/>
        <w:rPr/>
      </w:pPr>
      <w:r>
        <w:rPr/>
        <w:t>This press release contains “forward-looking statements” within the meaning of the safe harbor provisions of the U.S. Private Securities Litigation Reform Act of 1995.   Statements that use the words “estimated,” “expect,” “could,” “should,” “believe,” “will,” “might,” “anticipate,” “intend,” “plan,” “project,” “seek,” “would,” “may,” or similar words reflecting future expectations or beliefs are forward-looking statements. The forward-looking statements include, but are not limited to, the following: Quanex’s future operating results, future financial condition, future uses of cash and other expenditures, expenses and tax rates, expectations relating to the Company’s industry, expectations regarding the recovery of price versus cost imbalances, anticipated debt repayment and share repurchase activity, expected operational efficiencies and synergies and the Company’s future growth, including any guidance discussed in this press release. The statements and guidance set forth in this release are based on current expectations. Actual results or events may differ materially from those expressed or implied in these forward-looking statements. Therefore, you should not rely on any of these forward-looking statements. For a complete discussion of factors that may affect the Company’s future performance, please refer to Quanex’s Annual Report on Form 10-K for the fiscal year ended October 31, 2025, and the Company’s Quarterly Reports on Form 10-Q under the sections entitled “Cautionary Note Regarding Forward-Looking Statements” and “Risk Factors”. Any forward-looking statements in this press release are made as of the date hereof, and the Company undertakes no obligation to update or revise any forward-looking statements, whether written or oral, to reflect new information, developments or events.</w:t>
      </w:r>
    </w:p>
    <w:tbl>
      <w:tblPr>
        <w:tblW w:w="10205" w:type="dxa"/>
        <w:jc w:val="left"/>
        <w:tblInd w:w="0" w:type="dxa"/>
        <w:tblLayout w:type="fixed"/>
        <w:tblCellMar>
          <w:top w:w="28" w:type="dxa"/>
          <w:left w:w="28" w:type="dxa"/>
          <w:bottom w:w="28" w:type="dxa"/>
          <w:right w:w="28" w:type="dxa"/>
        </w:tblCellMar>
      </w:tblPr>
      <w:tblGrid>
        <w:gridCol w:w="3702"/>
        <w:gridCol w:w="154"/>
        <w:gridCol w:w="246"/>
        <w:gridCol w:w="968"/>
        <w:gridCol w:w="197"/>
        <w:gridCol w:w="158"/>
        <w:gridCol w:w="246"/>
        <w:gridCol w:w="1049"/>
        <w:gridCol w:w="197"/>
        <w:gridCol w:w="146"/>
        <w:gridCol w:w="226"/>
        <w:gridCol w:w="1066"/>
        <w:gridCol w:w="181"/>
        <w:gridCol w:w="146"/>
        <w:gridCol w:w="226"/>
        <w:gridCol w:w="1066"/>
        <w:gridCol w:w="231"/>
      </w:tblGrid>
      <w:tr>
        <w:trPr/>
        <w:tc>
          <w:tcPr>
            <w:tcW w:w="10205" w:type="dxa"/>
            <w:gridSpan w:val="17"/>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center"/>
              <w:rPr/>
            </w:pPr>
            <w:r>
              <w:rPr>
                <w:rStyle w:val="StrongEmphasis"/>
              </w:rPr>
              <w:t>CONDENSED CONSOLIDATED STATEMENTS OF INCOME</w:t>
            </w:r>
            <w:r>
              <w:rPr/>
              <w:br/>
              <w:t>(In thousands, except per share data)</w:t>
              <w:br/>
              <w:t>(Unaudited)</w:t>
            </w:r>
          </w:p>
        </w:tc>
      </w:tr>
      <w:tr>
        <w:trPr/>
        <w:tc>
          <w:tcPr>
            <w:tcW w:w="3702"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right"/>
              <w:rPr/>
            </w:pPr>
            <w:r>
              <w:rPr/>
              <w:t> </w:t>
            </w:r>
          </w:p>
        </w:tc>
        <w:tc>
          <w:tcPr>
            <w:tcW w:w="1411" w:type="dxa"/>
            <w:gridSpan w:val="3"/>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23" w:type="dxa"/>
            <w:gridSpan w:val="3"/>
            <w:tcBorders/>
            <w:vAlign w:val="center"/>
          </w:tcPr>
          <w:p>
            <w:pPr>
              <w:pStyle w:val="TableContents"/>
              <w:bidi w:val="0"/>
              <w:spacing w:before="0" w:after="283"/>
              <w:jc w:val="center"/>
              <w:rPr/>
            </w:pPr>
            <w:r>
              <w:rPr/>
              <w:t> </w:t>
            </w:r>
          </w:p>
        </w:tc>
      </w:tr>
      <w:tr>
        <w:trPr/>
        <w:tc>
          <w:tcPr>
            <w:tcW w:w="3702"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right"/>
              <w:rPr/>
            </w:pPr>
            <w:r>
              <w:rPr/>
              <w:t> </w:t>
            </w:r>
          </w:p>
        </w:tc>
        <w:tc>
          <w:tcPr>
            <w:tcW w:w="3061"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July 31,</w:t>
            </w:r>
          </w:p>
        </w:tc>
        <w:tc>
          <w:tcPr>
            <w:tcW w:w="146" w:type="dxa"/>
            <w:tcBorders/>
            <w:vAlign w:val="center"/>
          </w:tcPr>
          <w:p>
            <w:pPr>
              <w:pStyle w:val="TableContents"/>
              <w:bidi w:val="0"/>
              <w:spacing w:before="0" w:after="283"/>
              <w:jc w:val="right"/>
              <w:rPr/>
            </w:pPr>
            <w:r>
              <w:rPr/>
              <w:t> </w:t>
            </w:r>
          </w:p>
        </w:tc>
        <w:tc>
          <w:tcPr>
            <w:tcW w:w="314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July 31,</w:t>
            </w:r>
          </w:p>
        </w:tc>
      </w:tr>
      <w:tr>
        <w:trPr/>
        <w:tc>
          <w:tcPr>
            <w:tcW w:w="3702"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right"/>
              <w:rPr/>
            </w:pPr>
            <w:r>
              <w:rPr/>
              <w:t> </w:t>
            </w:r>
          </w:p>
        </w:tc>
        <w:tc>
          <w:tcPr>
            <w:tcW w:w="141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58" w:type="dxa"/>
            <w:tcBorders/>
            <w:vAlign w:val="center"/>
          </w:tcPr>
          <w:p>
            <w:pPr>
              <w:pStyle w:val="TableContents"/>
              <w:bidi w:val="0"/>
              <w:spacing w:before="0" w:after="283"/>
              <w:jc w:val="center"/>
              <w:rPr/>
            </w:pPr>
            <w:r>
              <w:rPr/>
              <w:t> </w:t>
            </w:r>
          </w:p>
        </w:tc>
        <w:tc>
          <w:tcPr>
            <w:tcW w:w="149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left"/>
              <w:rPr/>
            </w:pPr>
            <w:r>
              <w:rPr/>
              <w:t> </w:t>
            </w:r>
          </w:p>
        </w:tc>
        <w:tc>
          <w:tcPr>
            <w:tcW w:w="14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152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3702"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right"/>
              <w:rPr/>
            </w:pPr>
            <w:r>
              <w:rPr/>
              <w:t> </w:t>
            </w:r>
          </w:p>
        </w:tc>
        <w:tc>
          <w:tcPr>
            <w:tcW w:w="1411" w:type="dxa"/>
            <w:gridSpan w:val="3"/>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23" w:type="dxa"/>
            <w:gridSpan w:val="3"/>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Net sales</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w:t>
            </w:r>
          </w:p>
        </w:tc>
        <w:tc>
          <w:tcPr>
            <w:tcW w:w="968" w:type="dxa"/>
            <w:tcBorders/>
            <w:vAlign w:val="center"/>
          </w:tcPr>
          <w:p>
            <w:pPr>
              <w:pStyle w:val="TableContents"/>
              <w:bidi w:val="0"/>
              <w:spacing w:before="0" w:after="283"/>
              <w:jc w:val="right"/>
              <w:rPr/>
            </w:pPr>
            <w:r>
              <w:rPr/>
              <w:t>501,845</w:t>
            </w:r>
          </w:p>
        </w:tc>
        <w:tc>
          <w:tcPr>
            <w:tcW w:w="19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w:t>
            </w:r>
          </w:p>
        </w:tc>
        <w:tc>
          <w:tcPr>
            <w:tcW w:w="1049" w:type="dxa"/>
            <w:tcBorders/>
            <w:vAlign w:val="center"/>
          </w:tcPr>
          <w:p>
            <w:pPr>
              <w:pStyle w:val="TableContents"/>
              <w:bidi w:val="0"/>
              <w:spacing w:before="0" w:after="283"/>
              <w:jc w:val="right"/>
              <w:rPr/>
            </w:pPr>
            <w:r>
              <w:rPr/>
              <w:t>495,273</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1,373,301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1,347,795</w:t>
            </w:r>
          </w:p>
        </w:tc>
        <w:tc>
          <w:tcPr>
            <w:tcW w:w="231" w:type="dxa"/>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Cost of sales</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968" w:type="dxa"/>
            <w:tcBorders/>
            <w:vAlign w:val="center"/>
          </w:tcPr>
          <w:p>
            <w:pPr>
              <w:pStyle w:val="TableContents"/>
              <w:bidi w:val="0"/>
              <w:spacing w:before="0" w:after="283"/>
              <w:jc w:val="right"/>
              <w:rPr/>
            </w:pPr>
            <w:r>
              <w:rPr/>
              <w:t>360,380</w:t>
            </w:r>
          </w:p>
        </w:tc>
        <w:tc>
          <w:tcPr>
            <w:tcW w:w="19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1049" w:type="dxa"/>
            <w:tcBorders/>
            <w:vAlign w:val="center"/>
          </w:tcPr>
          <w:p>
            <w:pPr>
              <w:pStyle w:val="TableContents"/>
              <w:bidi w:val="0"/>
              <w:spacing w:before="0" w:after="283"/>
              <w:jc w:val="right"/>
              <w:rPr/>
            </w:pPr>
            <w:r>
              <w:rPr/>
              <w:t>357,305</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1,015,517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986,129</w:t>
            </w:r>
          </w:p>
        </w:tc>
        <w:tc>
          <w:tcPr>
            <w:tcW w:w="231" w:type="dxa"/>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Selling, general and administrative</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968" w:type="dxa"/>
            <w:tcBorders/>
            <w:vAlign w:val="center"/>
          </w:tcPr>
          <w:p>
            <w:pPr>
              <w:pStyle w:val="TableContents"/>
              <w:bidi w:val="0"/>
              <w:spacing w:before="0" w:after="283"/>
              <w:jc w:val="right"/>
              <w:rPr/>
            </w:pPr>
            <w:r>
              <w:rPr/>
              <w:t>70,837</w:t>
            </w:r>
          </w:p>
        </w:tc>
        <w:tc>
          <w:tcPr>
            <w:tcW w:w="19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1049" w:type="dxa"/>
            <w:tcBorders/>
            <w:vAlign w:val="center"/>
          </w:tcPr>
          <w:p>
            <w:pPr>
              <w:pStyle w:val="TableContents"/>
              <w:bidi w:val="0"/>
              <w:spacing w:before="0" w:after="283"/>
              <w:jc w:val="right"/>
              <w:rPr/>
            </w:pPr>
            <w:r>
              <w:rPr/>
              <w:t>71,270</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216,695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208,253</w:t>
            </w:r>
          </w:p>
        </w:tc>
        <w:tc>
          <w:tcPr>
            <w:tcW w:w="231" w:type="dxa"/>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Restructuring charges</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968" w:type="dxa"/>
            <w:tcBorders/>
            <w:vAlign w:val="center"/>
          </w:tcPr>
          <w:p>
            <w:pPr>
              <w:pStyle w:val="TableContents"/>
              <w:bidi w:val="0"/>
              <w:spacing w:before="0" w:after="283"/>
              <w:jc w:val="right"/>
              <w:rPr/>
            </w:pPr>
            <w:r>
              <w:rPr/>
              <w:t>-</w:t>
            </w:r>
          </w:p>
        </w:tc>
        <w:tc>
          <w:tcPr>
            <w:tcW w:w="19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1049" w:type="dxa"/>
            <w:tcBorders/>
            <w:vAlign w:val="center"/>
          </w:tcPr>
          <w:p>
            <w:pPr>
              <w:pStyle w:val="TableContents"/>
              <w:bidi w:val="0"/>
              <w:spacing w:before="0" w:after="283"/>
              <w:jc w:val="right"/>
              <w:rPr/>
            </w:pPr>
            <w:r>
              <w:rPr/>
              <w:t>1,367</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10,207</w:t>
            </w:r>
          </w:p>
        </w:tc>
        <w:tc>
          <w:tcPr>
            <w:tcW w:w="231" w:type="dxa"/>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Depreciation and amortization</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968" w:type="dxa"/>
            <w:tcBorders/>
            <w:vAlign w:val="center"/>
          </w:tcPr>
          <w:p>
            <w:pPr>
              <w:pStyle w:val="TableContents"/>
              <w:bidi w:val="0"/>
              <w:spacing w:before="0" w:after="283"/>
              <w:jc w:val="right"/>
              <w:rPr/>
            </w:pPr>
            <w:r>
              <w:rPr/>
              <w:t>24,138</w:t>
            </w:r>
          </w:p>
        </w:tc>
        <w:tc>
          <w:tcPr>
            <w:tcW w:w="19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1049" w:type="dxa"/>
            <w:tcBorders/>
            <w:vAlign w:val="center"/>
          </w:tcPr>
          <w:p>
            <w:pPr>
              <w:pStyle w:val="TableContents"/>
              <w:bidi w:val="0"/>
              <w:spacing w:before="0" w:after="283"/>
              <w:jc w:val="right"/>
              <w:rPr/>
            </w:pPr>
            <w:r>
              <w:rPr/>
              <w:t>33,882</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73,037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77,814</w:t>
            </w:r>
          </w:p>
        </w:tc>
        <w:tc>
          <w:tcPr>
            <w:tcW w:w="231" w:type="dxa"/>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Asset impairment charges</w:t>
            </w:r>
          </w:p>
        </w:tc>
        <w:tc>
          <w:tcPr>
            <w:tcW w:w="154" w:type="dxa"/>
            <w:tcBorders/>
            <w:vAlign w:val="center"/>
          </w:tcPr>
          <w:p>
            <w:pPr>
              <w:pStyle w:val="TableContents"/>
              <w:bidi w:val="0"/>
              <w:spacing w:before="0" w:after="283"/>
              <w:jc w:val="righ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302,284</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302,284</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Operating income (loss)</w:t>
            </w:r>
          </w:p>
        </w:tc>
        <w:tc>
          <w:tcPr>
            <w:tcW w:w="154" w:type="dxa"/>
            <w:tcBorders/>
            <w:vAlign w:val="center"/>
          </w:tcPr>
          <w:p>
            <w:pPr>
              <w:pStyle w:val="TableContents"/>
              <w:bidi w:val="0"/>
              <w:spacing w:before="0" w:after="283"/>
              <w:jc w:val="right"/>
              <w:rPr/>
            </w:pPr>
            <w:r>
              <w:rPr/>
              <w:t> </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6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46,490</w:t>
            </w:r>
          </w:p>
        </w:tc>
        <w:tc>
          <w:tcPr>
            <w:tcW w:w="19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4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(270,835</w:t>
            </w:r>
          </w:p>
        </w:tc>
        <w:tc>
          <w:tcPr>
            <w:tcW w:w="19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68,052</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(236,892</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3702" w:type="dxa"/>
            <w:tcBorders/>
            <w:vAlign w:val="center"/>
          </w:tcPr>
          <w:p>
            <w:pPr>
              <w:pStyle w:val="TableContents"/>
              <w:bidi w:val="0"/>
              <w:spacing w:before="0" w:after="283"/>
              <w:jc w:val="left"/>
              <w:rPr/>
            </w:pPr>
            <w:r>
              <w:rPr/>
              <w:t>Interest expense</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968" w:type="dxa"/>
            <w:tcBorders/>
            <w:vAlign w:val="center"/>
          </w:tcPr>
          <w:p>
            <w:pPr>
              <w:pStyle w:val="TableContents"/>
              <w:bidi w:val="0"/>
              <w:spacing w:before="0" w:after="283"/>
              <w:jc w:val="right"/>
              <w:rPr/>
            </w:pPr>
            <w:r>
              <w:rPr/>
              <w:t>(11,978</w:t>
            </w:r>
          </w:p>
        </w:tc>
        <w:tc>
          <w:tcPr>
            <w:tcW w:w="197"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1049" w:type="dxa"/>
            <w:tcBorders/>
            <w:vAlign w:val="center"/>
          </w:tcPr>
          <w:p>
            <w:pPr>
              <w:pStyle w:val="TableContents"/>
              <w:bidi w:val="0"/>
              <w:spacing w:before="0" w:after="283"/>
              <w:jc w:val="right"/>
              <w:rPr/>
            </w:pPr>
            <w:r>
              <w:rPr/>
              <w:t>(14,218</w:t>
            </w:r>
          </w:p>
        </w:tc>
        <w:tc>
          <w:tcPr>
            <w:tcW w:w="19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(36,387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(42,344</w:t>
            </w:r>
          </w:p>
        </w:tc>
        <w:tc>
          <w:tcPr>
            <w:tcW w:w="231" w:type="dxa"/>
            <w:tcBorders/>
            <w:vAlign w:val="center"/>
          </w:tcPr>
          <w:p>
            <w:pPr>
              <w:pStyle w:val="TableContents"/>
              <w:bidi w:val="0"/>
              <w:spacing w:before="0" w:after="283"/>
              <w:jc w:val="left"/>
              <w:rPr/>
            </w:pPr>
            <w:r>
              <w:rPr/>
              <w:t>)</w:t>
            </w:r>
          </w:p>
        </w:tc>
      </w:tr>
      <w:tr>
        <w:trPr/>
        <w:tc>
          <w:tcPr>
            <w:tcW w:w="3702" w:type="dxa"/>
            <w:tcBorders/>
            <w:vAlign w:val="center"/>
          </w:tcPr>
          <w:p>
            <w:pPr>
              <w:pStyle w:val="TableContents"/>
              <w:bidi w:val="0"/>
              <w:spacing w:before="0" w:after="283"/>
              <w:jc w:val="left"/>
              <w:rPr/>
            </w:pPr>
            <w:r>
              <w:rPr/>
              <w:t>Other, net</w:t>
            </w:r>
          </w:p>
        </w:tc>
        <w:tc>
          <w:tcPr>
            <w:tcW w:w="154" w:type="dxa"/>
            <w:tcBorders/>
            <w:vAlign w:val="center"/>
          </w:tcPr>
          <w:p>
            <w:pPr>
              <w:pStyle w:val="TableContents"/>
              <w:bidi w:val="0"/>
              <w:spacing w:before="0" w:after="283"/>
              <w:jc w:val="righ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(93</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righ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855</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5,972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1,925</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Income (loss) before income taxes</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968" w:type="dxa"/>
            <w:tcBorders/>
            <w:vAlign w:val="center"/>
          </w:tcPr>
          <w:p>
            <w:pPr>
              <w:pStyle w:val="TableContents"/>
              <w:bidi w:val="0"/>
              <w:spacing w:before="0" w:after="283"/>
              <w:jc w:val="right"/>
              <w:rPr/>
            </w:pPr>
            <w:r>
              <w:rPr/>
              <w:t>34,419</w:t>
            </w:r>
          </w:p>
        </w:tc>
        <w:tc>
          <w:tcPr>
            <w:tcW w:w="19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1049" w:type="dxa"/>
            <w:tcBorders/>
            <w:vAlign w:val="center"/>
          </w:tcPr>
          <w:p>
            <w:pPr>
              <w:pStyle w:val="TableContents"/>
              <w:bidi w:val="0"/>
              <w:spacing w:before="0" w:after="283"/>
              <w:jc w:val="right"/>
              <w:rPr/>
            </w:pPr>
            <w:r>
              <w:rPr/>
              <w:t>(284,198</w:t>
            </w:r>
          </w:p>
        </w:tc>
        <w:tc>
          <w:tcPr>
            <w:tcW w:w="19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37,637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(277,311</w:t>
            </w:r>
          </w:p>
        </w:tc>
        <w:tc>
          <w:tcPr>
            <w:tcW w:w="231" w:type="dxa"/>
            <w:tcBorders/>
            <w:vAlign w:val="center"/>
          </w:tcPr>
          <w:p>
            <w:pPr>
              <w:pStyle w:val="TableContents"/>
              <w:bidi w:val="0"/>
              <w:spacing w:before="0" w:after="283"/>
              <w:jc w:val="left"/>
              <w:rPr/>
            </w:pPr>
            <w:r>
              <w:rPr/>
              <w:t>)</w:t>
            </w:r>
          </w:p>
        </w:tc>
      </w:tr>
      <w:tr>
        <w:trPr/>
        <w:tc>
          <w:tcPr>
            <w:tcW w:w="3702" w:type="dxa"/>
            <w:tcBorders/>
            <w:vAlign w:val="center"/>
          </w:tcPr>
          <w:p>
            <w:pPr>
              <w:pStyle w:val="TableContents"/>
              <w:bidi w:val="0"/>
              <w:spacing w:before="0" w:after="283"/>
              <w:jc w:val="left"/>
              <w:rPr/>
            </w:pPr>
            <w:r>
              <w:rPr/>
              <w:t>Income tax (expense) benefit</w:t>
            </w:r>
          </w:p>
        </w:tc>
        <w:tc>
          <w:tcPr>
            <w:tcW w:w="154" w:type="dxa"/>
            <w:tcBorders/>
            <w:vAlign w:val="center"/>
          </w:tcPr>
          <w:p>
            <w:pPr>
              <w:pStyle w:val="TableContents"/>
              <w:bidi w:val="0"/>
              <w:spacing w:before="0" w:after="283"/>
              <w:jc w:val="righ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(7,915</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right"/>
              <w:rPr/>
            </w:pPr>
            <w:r>
              <w:rPr/>
              <w:t> </w:t>
            </w:r>
          </w:p>
        </w:tc>
        <w:tc>
          <w:tcPr>
            <w:tcW w:w="2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4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8,191</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(11,854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6,934</w:t>
            </w:r>
          </w:p>
        </w:tc>
        <w:tc>
          <w:tcPr>
            <w:tcW w:w="231" w:type="dxa"/>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Net income (loss)</w:t>
            </w:r>
          </w:p>
        </w:tc>
        <w:tc>
          <w:tcPr>
            <w:tcW w:w="154" w:type="dxa"/>
            <w:tcBorders/>
            <w:vAlign w:val="center"/>
          </w:tcPr>
          <w:p>
            <w:pPr>
              <w:pStyle w:val="TableContents"/>
              <w:bidi w:val="0"/>
              <w:spacing w:before="0" w:after="283"/>
              <w:jc w:val="right"/>
              <w:rPr/>
            </w:pPr>
            <w:r>
              <w:rPr/>
              <w:t> </w:t>
            </w:r>
          </w:p>
        </w:tc>
        <w:tc>
          <w:tcPr>
            <w:tcW w:w="2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26,504</w:t>
            </w:r>
          </w:p>
        </w:tc>
        <w:tc>
          <w:tcPr>
            <w:tcW w:w="19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4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(276,007</w:t>
            </w:r>
          </w:p>
        </w:tc>
        <w:tc>
          <w:tcPr>
            <w:tcW w:w="19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25,783</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(270,377</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3702"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right"/>
              <w:rPr/>
            </w:pPr>
            <w:r>
              <w:rPr/>
              <w:t> </w:t>
            </w:r>
          </w:p>
        </w:tc>
        <w:tc>
          <w:tcPr>
            <w:tcW w:w="1411" w:type="dxa"/>
            <w:gridSpan w:val="3"/>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23" w:type="dxa"/>
            <w:gridSpan w:val="3"/>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Earnings (loss) per common share, basic</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w:t>
            </w:r>
          </w:p>
        </w:tc>
        <w:tc>
          <w:tcPr>
            <w:tcW w:w="968" w:type="dxa"/>
            <w:tcBorders/>
            <w:vAlign w:val="center"/>
          </w:tcPr>
          <w:p>
            <w:pPr>
              <w:pStyle w:val="TableContents"/>
              <w:bidi w:val="0"/>
              <w:spacing w:before="0" w:after="283"/>
              <w:jc w:val="right"/>
              <w:rPr/>
            </w:pPr>
            <w:r>
              <w:rPr/>
              <w:t>0.58</w:t>
            </w:r>
          </w:p>
        </w:tc>
        <w:tc>
          <w:tcPr>
            <w:tcW w:w="19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w:t>
            </w:r>
          </w:p>
        </w:tc>
        <w:tc>
          <w:tcPr>
            <w:tcW w:w="1049" w:type="dxa"/>
            <w:tcBorders/>
            <w:vAlign w:val="center"/>
          </w:tcPr>
          <w:p>
            <w:pPr>
              <w:pStyle w:val="TableContents"/>
              <w:bidi w:val="0"/>
              <w:spacing w:before="0" w:after="283"/>
              <w:jc w:val="right"/>
              <w:rPr/>
            </w:pPr>
            <w:r>
              <w:rPr/>
              <w:t>(6.04</w:t>
            </w:r>
          </w:p>
        </w:tc>
        <w:tc>
          <w:tcPr>
            <w:tcW w:w="19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0.57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(5.83</w:t>
            </w:r>
          </w:p>
        </w:tc>
        <w:tc>
          <w:tcPr>
            <w:tcW w:w="231" w:type="dxa"/>
            <w:tcBorders/>
            <w:vAlign w:val="center"/>
          </w:tcPr>
          <w:p>
            <w:pPr>
              <w:pStyle w:val="TableContents"/>
              <w:bidi w:val="0"/>
              <w:spacing w:before="0" w:after="283"/>
              <w:jc w:val="left"/>
              <w:rPr/>
            </w:pPr>
            <w:r>
              <w:rPr/>
              <w:t>)</w:t>
            </w:r>
          </w:p>
        </w:tc>
      </w:tr>
      <w:tr>
        <w:trPr/>
        <w:tc>
          <w:tcPr>
            <w:tcW w:w="3702" w:type="dxa"/>
            <w:tcBorders/>
            <w:vAlign w:val="center"/>
          </w:tcPr>
          <w:p>
            <w:pPr>
              <w:pStyle w:val="TableContents"/>
              <w:bidi w:val="0"/>
              <w:spacing w:before="0" w:after="283"/>
              <w:jc w:val="left"/>
              <w:rPr/>
            </w:pPr>
            <w:r>
              <w:rPr/>
              <w:t>Earnings (loss) per common share, diluted</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w:t>
            </w:r>
          </w:p>
        </w:tc>
        <w:tc>
          <w:tcPr>
            <w:tcW w:w="968" w:type="dxa"/>
            <w:tcBorders/>
            <w:vAlign w:val="center"/>
          </w:tcPr>
          <w:p>
            <w:pPr>
              <w:pStyle w:val="TableContents"/>
              <w:bidi w:val="0"/>
              <w:spacing w:before="0" w:after="283"/>
              <w:jc w:val="right"/>
              <w:rPr/>
            </w:pPr>
            <w:r>
              <w:rPr/>
              <w:t>0.58</w:t>
            </w:r>
          </w:p>
        </w:tc>
        <w:tc>
          <w:tcPr>
            <w:tcW w:w="19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w:t>
            </w:r>
          </w:p>
        </w:tc>
        <w:tc>
          <w:tcPr>
            <w:tcW w:w="1049" w:type="dxa"/>
            <w:tcBorders/>
            <w:vAlign w:val="center"/>
          </w:tcPr>
          <w:p>
            <w:pPr>
              <w:pStyle w:val="TableContents"/>
              <w:bidi w:val="0"/>
              <w:spacing w:before="0" w:after="283"/>
              <w:jc w:val="right"/>
              <w:rPr/>
            </w:pPr>
            <w:r>
              <w:rPr/>
              <w:t>(6.04</w:t>
            </w:r>
          </w:p>
        </w:tc>
        <w:tc>
          <w:tcPr>
            <w:tcW w:w="19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0.57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(5.83</w:t>
            </w:r>
          </w:p>
        </w:tc>
        <w:tc>
          <w:tcPr>
            <w:tcW w:w="231" w:type="dxa"/>
            <w:tcBorders/>
            <w:vAlign w:val="center"/>
          </w:tcPr>
          <w:p>
            <w:pPr>
              <w:pStyle w:val="TableContents"/>
              <w:bidi w:val="0"/>
              <w:spacing w:before="0" w:after="283"/>
              <w:jc w:val="left"/>
              <w:rPr/>
            </w:pPr>
            <w:r>
              <w:rPr/>
              <w:t>)</w:t>
            </w:r>
          </w:p>
        </w:tc>
      </w:tr>
      <w:tr>
        <w:trPr/>
        <w:tc>
          <w:tcPr>
            <w:tcW w:w="3702"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right"/>
              <w:rPr/>
            </w:pPr>
            <w:r>
              <w:rPr/>
              <w:t> </w:t>
            </w:r>
          </w:p>
        </w:tc>
        <w:tc>
          <w:tcPr>
            <w:tcW w:w="1411" w:type="dxa"/>
            <w:gridSpan w:val="3"/>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23" w:type="dxa"/>
            <w:gridSpan w:val="3"/>
            <w:tcBorders/>
            <w:vAlign w:val="center"/>
          </w:tcPr>
          <w:p>
            <w:pPr>
              <w:pStyle w:val="TableContents"/>
              <w:bidi w:val="0"/>
              <w:spacing w:before="0" w:after="283"/>
              <w:jc w:val="left"/>
              <w:rPr/>
            </w:pPr>
            <w:r>
              <w:rPr/>
              <w:t> </w:t>
            </w:r>
          </w:p>
        </w:tc>
      </w:tr>
      <w:tr>
        <w:trPr/>
        <w:tc>
          <w:tcPr>
            <w:tcW w:w="3856" w:type="dxa"/>
            <w:gridSpan w:val="2"/>
            <w:tcBorders/>
            <w:vAlign w:val="center"/>
          </w:tcPr>
          <w:p>
            <w:pPr>
              <w:pStyle w:val="TableContents"/>
              <w:bidi w:val="0"/>
              <w:spacing w:before="0" w:after="283"/>
              <w:jc w:val="left"/>
              <w:rPr/>
            </w:pPr>
            <w:r>
              <w:rPr/>
              <w:t>Weighted average common shares outstanding:</w:t>
            </w:r>
          </w:p>
        </w:tc>
        <w:tc>
          <w:tcPr>
            <w:tcW w:w="1411" w:type="dxa"/>
            <w:gridSpan w:val="3"/>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23" w:type="dxa"/>
            <w:gridSpan w:val="3"/>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Basic</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968" w:type="dxa"/>
            <w:tcBorders/>
            <w:vAlign w:val="center"/>
          </w:tcPr>
          <w:p>
            <w:pPr>
              <w:pStyle w:val="TableContents"/>
              <w:bidi w:val="0"/>
              <w:spacing w:before="0" w:after="283"/>
              <w:jc w:val="right"/>
              <w:rPr/>
            </w:pPr>
            <w:r>
              <w:rPr/>
              <w:t>45,461</w:t>
            </w:r>
          </w:p>
        </w:tc>
        <w:tc>
          <w:tcPr>
            <w:tcW w:w="19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1049" w:type="dxa"/>
            <w:tcBorders/>
            <w:vAlign w:val="center"/>
          </w:tcPr>
          <w:p>
            <w:pPr>
              <w:pStyle w:val="TableContents"/>
              <w:bidi w:val="0"/>
              <w:spacing w:before="0" w:after="283"/>
              <w:jc w:val="right"/>
              <w:rPr/>
            </w:pPr>
            <w:r>
              <w:rPr/>
              <w:t>45,691</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45,466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46,395</w:t>
            </w:r>
          </w:p>
        </w:tc>
        <w:tc>
          <w:tcPr>
            <w:tcW w:w="231" w:type="dxa"/>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Diluted</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968" w:type="dxa"/>
            <w:tcBorders/>
            <w:vAlign w:val="center"/>
          </w:tcPr>
          <w:p>
            <w:pPr>
              <w:pStyle w:val="TableContents"/>
              <w:bidi w:val="0"/>
              <w:spacing w:before="0" w:after="283"/>
              <w:jc w:val="right"/>
              <w:rPr/>
            </w:pPr>
            <w:r>
              <w:rPr/>
              <w:t>45,648</w:t>
            </w:r>
          </w:p>
        </w:tc>
        <w:tc>
          <w:tcPr>
            <w:tcW w:w="19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 </w:t>
            </w:r>
          </w:p>
        </w:tc>
        <w:tc>
          <w:tcPr>
            <w:tcW w:w="1049" w:type="dxa"/>
            <w:tcBorders/>
            <w:vAlign w:val="center"/>
          </w:tcPr>
          <w:p>
            <w:pPr>
              <w:pStyle w:val="TableContents"/>
              <w:bidi w:val="0"/>
              <w:spacing w:before="0" w:after="283"/>
              <w:jc w:val="right"/>
              <w:rPr/>
            </w:pPr>
            <w:r>
              <w:rPr/>
              <w:t>45,691</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45,607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46,395</w:t>
            </w:r>
          </w:p>
        </w:tc>
        <w:tc>
          <w:tcPr>
            <w:tcW w:w="231" w:type="dxa"/>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right"/>
              <w:rPr/>
            </w:pPr>
            <w:r>
              <w:rPr/>
              <w:t> </w:t>
            </w:r>
          </w:p>
        </w:tc>
        <w:tc>
          <w:tcPr>
            <w:tcW w:w="154" w:type="dxa"/>
            <w:tcBorders/>
            <w:vAlign w:val="center"/>
          </w:tcPr>
          <w:p>
            <w:pPr>
              <w:pStyle w:val="TableContents"/>
              <w:bidi w:val="0"/>
              <w:spacing w:before="0" w:after="283"/>
              <w:jc w:val="right"/>
              <w:rPr/>
            </w:pPr>
            <w:r>
              <w:rPr/>
              <w:t> </w:t>
            </w:r>
          </w:p>
        </w:tc>
        <w:tc>
          <w:tcPr>
            <w:tcW w:w="1411" w:type="dxa"/>
            <w:gridSpan w:val="3"/>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right"/>
              <w:rPr/>
            </w:pPr>
            <w:r>
              <w:rPr/>
              <w:t> </w:t>
            </w:r>
          </w:p>
        </w:tc>
        <w:tc>
          <w:tcPr>
            <w:tcW w:w="1492"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23" w:type="dxa"/>
            <w:gridSpan w:val="3"/>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Cash dividends per share</w:t>
            </w:r>
          </w:p>
        </w:tc>
        <w:tc>
          <w:tcPr>
            <w:tcW w:w="154"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w:t>
            </w:r>
          </w:p>
        </w:tc>
        <w:tc>
          <w:tcPr>
            <w:tcW w:w="968" w:type="dxa"/>
            <w:tcBorders/>
            <w:vAlign w:val="center"/>
          </w:tcPr>
          <w:p>
            <w:pPr>
              <w:pStyle w:val="TableContents"/>
              <w:bidi w:val="0"/>
              <w:spacing w:before="0" w:after="283"/>
              <w:jc w:val="right"/>
              <w:rPr/>
            </w:pPr>
            <w:r>
              <w:rPr/>
              <w:t>0.08</w:t>
            </w:r>
          </w:p>
        </w:tc>
        <w:tc>
          <w:tcPr>
            <w:tcW w:w="19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right"/>
              <w:rPr/>
            </w:pPr>
            <w:r>
              <w:rPr/>
              <w:t>$</w:t>
            </w:r>
          </w:p>
        </w:tc>
        <w:tc>
          <w:tcPr>
            <w:tcW w:w="1049" w:type="dxa"/>
            <w:tcBorders/>
            <w:vAlign w:val="center"/>
          </w:tcPr>
          <w:p>
            <w:pPr>
              <w:pStyle w:val="TableContents"/>
              <w:bidi w:val="0"/>
              <w:spacing w:before="0" w:after="283"/>
              <w:jc w:val="right"/>
              <w:rPr/>
            </w:pPr>
            <w:r>
              <w:rPr/>
              <w:t>0.08</w:t>
            </w:r>
          </w:p>
        </w:tc>
        <w:tc>
          <w:tcPr>
            <w:tcW w:w="19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0.24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0.24</w:t>
            </w:r>
          </w:p>
        </w:tc>
        <w:tc>
          <w:tcPr>
            <w:tcW w:w="231" w:type="dxa"/>
            <w:tcBorders/>
            <w:vAlign w:val="center"/>
          </w:tcPr>
          <w:p>
            <w:pPr>
              <w:pStyle w:val="TableContents"/>
              <w:bidi w:val="0"/>
              <w:spacing w:before="0" w:after="283"/>
              <w:jc w:val="left"/>
              <w:rPr/>
            </w:pPr>
            <w:r>
              <w:rPr/>
              <w:t> </w:t>
            </w:r>
          </w:p>
        </w:tc>
      </w:tr>
      <w:tr>
        <w:trPr/>
        <w:tc>
          <w:tcPr>
            <w:tcW w:w="370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11" w:type="dxa"/>
            <w:gridSpan w:val="3"/>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492"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23" w:type="dxa"/>
            <w:gridSpan w:val="3"/>
            <w:tcBorders/>
            <w:vAlign w:val="center"/>
          </w:tcPr>
          <w:p>
            <w:pPr>
              <w:pStyle w:val="TableContents"/>
              <w:bidi w:val="0"/>
              <w:spacing w:before="0" w:after="283"/>
              <w:jc w:val="left"/>
              <w:rPr/>
            </w:pPr>
            <w:r>
              <w:rPr/>
              <w:t> </w:t>
            </w:r>
          </w:p>
        </w:tc>
      </w:tr>
    </w:tbl>
    <w:p>
      <w:pPr>
        <w:pStyle w:val="TextBody"/>
        <w:bidi w:val="0"/>
        <w:jc w:val="left"/>
        <w:rPr/>
      </w:pPr>
      <w:r>
        <w:rPr/>
      </w:r>
    </w:p>
    <w:tbl>
      <w:tblPr>
        <w:tblW w:w="9026" w:type="dxa"/>
        <w:jc w:val="left"/>
        <w:tblInd w:w="0" w:type="dxa"/>
        <w:tblLayout w:type="fixed"/>
        <w:tblCellMar>
          <w:top w:w="28" w:type="dxa"/>
          <w:left w:w="28" w:type="dxa"/>
          <w:bottom w:w="28" w:type="dxa"/>
          <w:right w:w="28" w:type="dxa"/>
        </w:tblCellMar>
      </w:tblPr>
      <w:tblGrid>
        <w:gridCol w:w="5386"/>
        <w:gridCol w:w="146"/>
        <w:gridCol w:w="226"/>
        <w:gridCol w:w="1066"/>
        <w:gridCol w:w="181"/>
        <w:gridCol w:w="146"/>
        <w:gridCol w:w="279"/>
        <w:gridCol w:w="1317"/>
        <w:gridCol w:w="279"/>
      </w:tblGrid>
      <w:tr>
        <w:trPr/>
        <w:tc>
          <w:tcPr>
            <w:tcW w:w="9026" w:type="dxa"/>
            <w:gridSpan w:val="9"/>
            <w:tcBorders/>
            <w:vAlign w:val="center"/>
          </w:tcPr>
          <w:p>
            <w:pPr>
              <w:pStyle w:val="TableContents"/>
              <w:bidi w:val="0"/>
              <w:spacing w:before="0" w:after="283"/>
              <w:jc w:val="left"/>
              <w:rPr/>
            </w:pPr>
            <w:r>
              <w:rPr/>
              <w:t> </w:t>
            </w:r>
          </w:p>
        </w:tc>
      </w:tr>
      <w:tr>
        <w:trPr/>
        <w:tc>
          <w:tcPr>
            <w:tcW w:w="9026" w:type="dxa"/>
            <w:gridSpan w:val="9"/>
            <w:tcBorders/>
            <w:vAlign w:val="center"/>
          </w:tcPr>
          <w:p>
            <w:pPr>
              <w:pStyle w:val="TableContents"/>
              <w:bidi w:val="0"/>
              <w:spacing w:before="0" w:after="283"/>
              <w:jc w:val="center"/>
              <w:rPr/>
            </w:pPr>
            <w:r>
              <w:rPr>
                <w:rStyle w:val="StrongEmphasis"/>
              </w:rPr>
              <w:t>QUANEX BUILDING PRODUCTS CORPORATION</w:t>
            </w:r>
            <w:r>
              <w:rPr/>
              <w:br/>
            </w:r>
            <w:r>
              <w:rPr>
                <w:rStyle w:val="StrongEmphasis"/>
              </w:rPr>
              <w:t>CONDENSED CONSOLIDATED BALANCE SHEETS</w:t>
            </w:r>
            <w:r>
              <w:rPr/>
              <w:br/>
              <w:t>(In thousands)</w:t>
              <w:br/>
              <w:t>(Unaudited)</w:t>
            </w:r>
          </w:p>
        </w:tc>
      </w:tr>
      <w:tr>
        <w:trPr/>
        <w:tc>
          <w:tcPr>
            <w:tcW w:w="538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875" w:type="dxa"/>
            <w:gridSpan w:val="3"/>
            <w:tcBorders/>
            <w:vAlign w:val="center"/>
          </w:tcPr>
          <w:p>
            <w:pPr>
              <w:pStyle w:val="TableContents"/>
              <w:bidi w:val="0"/>
              <w:spacing w:before="0" w:after="283"/>
              <w:jc w:val="center"/>
              <w:rPr/>
            </w:pPr>
            <w:r>
              <w:rPr/>
              <w:t> </w:t>
            </w:r>
          </w:p>
        </w:tc>
      </w:tr>
      <w:tr>
        <w:trPr/>
        <w:tc>
          <w:tcPr>
            <w:tcW w:w="538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7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July 31, 2026</w:t>
            </w:r>
          </w:p>
        </w:tc>
        <w:tc>
          <w:tcPr>
            <w:tcW w:w="146" w:type="dxa"/>
            <w:tcBorders/>
            <w:vAlign w:val="center"/>
          </w:tcPr>
          <w:p>
            <w:pPr>
              <w:pStyle w:val="TableContents"/>
              <w:bidi w:val="0"/>
              <w:spacing w:before="0" w:after="283"/>
              <w:jc w:val="center"/>
              <w:rPr/>
            </w:pPr>
            <w:r>
              <w:rPr/>
              <w:t> </w:t>
            </w:r>
          </w:p>
        </w:tc>
        <w:tc>
          <w:tcPr>
            <w:tcW w:w="1875"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October 31, 2025</w:t>
            </w:r>
          </w:p>
        </w:tc>
      </w:tr>
      <w:tr>
        <w:trPr/>
        <w:tc>
          <w:tcPr>
            <w:tcW w:w="5386" w:type="dxa"/>
            <w:tcBorders/>
            <w:vAlign w:val="center"/>
          </w:tcPr>
          <w:p>
            <w:pPr>
              <w:pStyle w:val="TableContents"/>
              <w:bidi w:val="0"/>
              <w:spacing w:before="0" w:after="283"/>
              <w:jc w:val="center"/>
              <w:rPr/>
            </w:pPr>
            <w:r>
              <w:rPr>
                <w:rStyle w:val="StrongEmphasis"/>
              </w:rPr>
              <w:t>ASSETS</w:t>
            </w:r>
          </w:p>
        </w:tc>
        <w:tc>
          <w:tcPr>
            <w:tcW w:w="146" w:type="dxa"/>
            <w:tcBorders/>
            <w:vAlign w:val="center"/>
          </w:tcPr>
          <w:p>
            <w:pPr>
              <w:pStyle w:val="TableContents"/>
              <w:bidi w:val="0"/>
              <w:spacing w:before="0" w:after="283"/>
              <w:jc w:val="center"/>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75" w:type="dxa"/>
            <w:gridSpan w:val="3"/>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Current assets:</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75" w:type="dxa"/>
            <w:gridSpan w:val="3"/>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62,094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w:t>
            </w:r>
          </w:p>
        </w:tc>
        <w:tc>
          <w:tcPr>
            <w:tcW w:w="1317" w:type="dxa"/>
            <w:tcBorders/>
            <w:vAlign w:val="center"/>
          </w:tcPr>
          <w:p>
            <w:pPr>
              <w:pStyle w:val="TableContents"/>
              <w:bidi w:val="0"/>
              <w:spacing w:before="0" w:after="283"/>
              <w:jc w:val="right"/>
              <w:rPr/>
            </w:pPr>
            <w:r>
              <w:rPr/>
              <w:t>76,018</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Restricted Cash</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2,123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2,100</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Accounts receivable,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214,768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205,384</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Inventories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276,396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254,122</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Income taxes receivable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5,603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Prepaid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37,452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32,387</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Other current assets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3,847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1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3,764</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602,283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573,775</w:t>
            </w:r>
          </w:p>
        </w:tc>
        <w:tc>
          <w:tcPr>
            <w:tcW w:w="279" w:type="dxa"/>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Property, plant and equipment,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394,021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411,591</w:t>
            </w:r>
          </w:p>
        </w:tc>
        <w:tc>
          <w:tcPr>
            <w:tcW w:w="279" w:type="dxa"/>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Operating lease right-of-use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171,552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154,866</w:t>
            </w:r>
          </w:p>
        </w:tc>
        <w:tc>
          <w:tcPr>
            <w:tcW w:w="279" w:type="dxa"/>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Deferred tax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2,706</w:t>
            </w:r>
          </w:p>
        </w:tc>
        <w:tc>
          <w:tcPr>
            <w:tcW w:w="279" w:type="dxa"/>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Goodwill</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273,765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271,346</w:t>
            </w:r>
          </w:p>
        </w:tc>
        <w:tc>
          <w:tcPr>
            <w:tcW w:w="279" w:type="dxa"/>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Intangible assets,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522,218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549,137</w:t>
            </w:r>
          </w:p>
        </w:tc>
        <w:tc>
          <w:tcPr>
            <w:tcW w:w="279" w:type="dxa"/>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Other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4,552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4,812</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Total assets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1,968,691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1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1,968,233</w:t>
            </w:r>
          </w:p>
        </w:tc>
        <w:tc>
          <w:tcPr>
            <w:tcW w:w="2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875" w:type="dxa"/>
            <w:gridSpan w:val="3"/>
            <w:tcBorders/>
            <w:vAlign w:val="center"/>
          </w:tcPr>
          <w:p>
            <w:pPr>
              <w:pStyle w:val="TableContents"/>
              <w:bidi w:val="0"/>
              <w:spacing w:before="0" w:after="283"/>
              <w:jc w:val="right"/>
              <w:rPr/>
            </w:pPr>
            <w:r>
              <w:rPr/>
              <w:t> </w:t>
            </w:r>
          </w:p>
        </w:tc>
      </w:tr>
      <w:tr>
        <w:trPr/>
        <w:tc>
          <w:tcPr>
            <w:tcW w:w="5386" w:type="dxa"/>
            <w:tcBorders/>
            <w:vAlign w:val="center"/>
          </w:tcPr>
          <w:p>
            <w:pPr>
              <w:pStyle w:val="TableContents"/>
              <w:bidi w:val="0"/>
              <w:spacing w:before="0" w:after="283"/>
              <w:jc w:val="center"/>
              <w:rPr/>
            </w:pPr>
            <w:r>
              <w:rPr>
                <w:rStyle w:val="StrongEmphasis"/>
              </w:rPr>
              <w:t>LIABILITIES AND STOCKHOLDERS' EQUITY</w:t>
            </w:r>
          </w:p>
        </w:tc>
        <w:tc>
          <w:tcPr>
            <w:tcW w:w="146" w:type="dxa"/>
            <w:tcBorders/>
            <w:vAlign w:val="center"/>
          </w:tcPr>
          <w:p>
            <w:pPr>
              <w:pStyle w:val="TableContents"/>
              <w:bidi w:val="0"/>
              <w:spacing w:before="0" w:after="283"/>
              <w:jc w:val="center"/>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75" w:type="dxa"/>
            <w:gridSpan w:val="3"/>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Current liabilities:</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75" w:type="dxa"/>
            <w:gridSpan w:val="3"/>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127,030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w:t>
            </w:r>
          </w:p>
        </w:tc>
        <w:tc>
          <w:tcPr>
            <w:tcW w:w="1317" w:type="dxa"/>
            <w:tcBorders/>
            <w:vAlign w:val="center"/>
          </w:tcPr>
          <w:p>
            <w:pPr>
              <w:pStyle w:val="TableContents"/>
              <w:bidi w:val="0"/>
              <w:spacing w:before="0" w:after="283"/>
              <w:jc w:val="right"/>
              <w:rPr/>
            </w:pPr>
            <w:r>
              <w:rPr/>
              <w:t>131,307</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Accrued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88,209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95,155</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Income taxes payable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9,300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12,076</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Current maturities of long-term debt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26,551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27,561</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Current operating lease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18,822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15,446</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Other liabilities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1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269,912</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1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281,545</w:t>
            </w:r>
          </w:p>
        </w:tc>
        <w:tc>
          <w:tcPr>
            <w:tcW w:w="27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Long-term debt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636,814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665,268</w:t>
            </w:r>
          </w:p>
        </w:tc>
        <w:tc>
          <w:tcPr>
            <w:tcW w:w="279" w:type="dxa"/>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Noncurrent operating lease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160,290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145,459</w:t>
            </w:r>
          </w:p>
        </w:tc>
        <w:tc>
          <w:tcPr>
            <w:tcW w:w="279" w:type="dxa"/>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Deferred pension benefits</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875" w:type="dxa"/>
            <w:gridSpan w:val="3"/>
            <w:tcBorders/>
            <w:vAlign w:val="center"/>
          </w:tcPr>
          <w:p>
            <w:pPr>
              <w:pStyle w:val="TableContents"/>
              <w:bidi w:val="0"/>
              <w:spacing w:before="0" w:after="283"/>
              <w:jc w:val="right"/>
              <w:rPr/>
            </w:pPr>
            <w:r>
              <w:rPr/>
              <w:t> </w:t>
            </w:r>
          </w:p>
        </w:tc>
      </w:tr>
      <w:tr>
        <w:trPr/>
        <w:tc>
          <w:tcPr>
            <w:tcW w:w="5386" w:type="dxa"/>
            <w:tcBorders/>
            <w:vAlign w:val="center"/>
          </w:tcPr>
          <w:p>
            <w:pPr>
              <w:pStyle w:val="TableContents"/>
              <w:bidi w:val="0"/>
              <w:spacing w:before="0" w:after="283"/>
              <w:jc w:val="left"/>
              <w:rPr/>
            </w:pPr>
            <w:r>
              <w:rPr/>
              <w:t>Deferred income taxes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137,766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135,993</w:t>
            </w:r>
          </w:p>
        </w:tc>
        <w:tc>
          <w:tcPr>
            <w:tcW w:w="279" w:type="dxa"/>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Liabilities for uncertain tax positions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1,857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w:t>
            </w:r>
          </w:p>
        </w:tc>
        <w:tc>
          <w:tcPr>
            <w:tcW w:w="279" w:type="dxa"/>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Other liabilities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16,608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1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13,789</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Total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1,223,247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1,242,054</w:t>
            </w:r>
          </w:p>
        </w:tc>
        <w:tc>
          <w:tcPr>
            <w:tcW w:w="279" w:type="dxa"/>
            <w:tcBorders/>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Stockholders’ equity:</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75" w:type="dxa"/>
            <w:gridSpan w:val="3"/>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Common stock</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512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512</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Additional paid-in-capital</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697,598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700,029</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Retained earnings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179,472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164,710</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Accumulated other comprehensive loss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(32,142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(35,439</w:t>
            </w:r>
          </w:p>
        </w:tc>
        <w:tc>
          <w:tcPr>
            <w:tcW w:w="279" w:type="dxa"/>
            <w:tcBorders/>
            <w:vAlign w:val="center"/>
          </w:tcPr>
          <w:p>
            <w:pPr>
              <w:pStyle w:val="TableContents"/>
              <w:bidi w:val="0"/>
              <w:spacing w:before="0" w:after="283"/>
              <w:jc w:val="left"/>
              <w:rPr/>
            </w:pPr>
            <w:r>
              <w:rPr/>
              <w:t>)</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Treasury stock at cost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(99,996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1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(103,633</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Total stockholders’ equity</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745,444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right"/>
              <w:rPr/>
            </w:pPr>
            <w:r>
              <w:rPr/>
              <w:t> </w:t>
            </w:r>
          </w:p>
        </w:tc>
        <w:tc>
          <w:tcPr>
            <w:tcW w:w="1317" w:type="dxa"/>
            <w:tcBorders/>
            <w:vAlign w:val="center"/>
          </w:tcPr>
          <w:p>
            <w:pPr>
              <w:pStyle w:val="TableContents"/>
              <w:bidi w:val="0"/>
              <w:spacing w:before="0" w:after="283"/>
              <w:jc w:val="right"/>
              <w:rPr/>
            </w:pPr>
            <w:r>
              <w:rPr/>
              <w:t>726,179</w:t>
            </w:r>
          </w:p>
        </w:tc>
        <w:tc>
          <w:tcPr>
            <w:tcW w:w="279" w:type="dxa"/>
            <w:tcBorders/>
            <w:vAlign w:val="center"/>
          </w:tcPr>
          <w:p>
            <w:pPr>
              <w:pStyle w:val="TableContents"/>
              <w:bidi w:val="0"/>
              <w:spacing w:before="0" w:after="283"/>
              <w:jc w:val="left"/>
              <w:rPr/>
            </w:pPr>
            <w:r>
              <w:rPr/>
              <w:t> </w:t>
            </w:r>
          </w:p>
        </w:tc>
      </w:tr>
      <w:tr>
        <w:trPr/>
        <w:tc>
          <w:tcPr>
            <w:tcW w:w="5386" w:type="dxa"/>
            <w:tcBorders/>
            <w:tcMar>
              <w:top w:w="0" w:type="dxa"/>
              <w:left w:w="0" w:type="dxa"/>
              <w:bottom w:w="0" w:type="dxa"/>
              <w:right w:w="0" w:type="dxa"/>
            </w:tcMar>
            <w:vAlign w:val="center"/>
          </w:tcPr>
          <w:p>
            <w:pPr>
              <w:pStyle w:val="TableContents"/>
              <w:bidi w:val="0"/>
              <w:spacing w:before="0" w:after="283"/>
              <w:jc w:val="left"/>
              <w:rPr/>
            </w:pPr>
            <w:r>
              <w:rPr/>
              <w:t>Total liabilities and stockholders' equity</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1,968,691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1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1,968,233</w:t>
            </w:r>
          </w:p>
        </w:tc>
        <w:tc>
          <w:tcPr>
            <w:tcW w:w="2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3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75" w:type="dxa"/>
            <w:gridSpan w:val="3"/>
            <w:tcBorders/>
            <w:vAlign w:val="center"/>
          </w:tcPr>
          <w:p>
            <w:pPr>
              <w:pStyle w:val="TableContents"/>
              <w:bidi w:val="0"/>
              <w:spacing w:before="0" w:after="283"/>
              <w:jc w:val="left"/>
              <w:rPr/>
            </w:pPr>
            <w:r>
              <w:rPr/>
              <w:t> </w:t>
            </w:r>
          </w:p>
        </w:tc>
      </w:tr>
    </w:tbl>
    <w:p>
      <w:pPr>
        <w:pStyle w:val="TextBody"/>
        <w:bidi w:val="0"/>
        <w:jc w:val="left"/>
        <w:rPr/>
      </w:pPr>
      <w:r>
        <w:rPr/>
      </w:r>
    </w:p>
    <w:tbl>
      <w:tblPr>
        <w:tblW w:w="9718" w:type="dxa"/>
        <w:jc w:val="left"/>
        <w:tblInd w:w="0" w:type="dxa"/>
        <w:tblLayout w:type="fixed"/>
        <w:tblCellMar>
          <w:top w:w="28" w:type="dxa"/>
          <w:left w:w="28" w:type="dxa"/>
          <w:bottom w:w="28" w:type="dxa"/>
          <w:right w:w="28" w:type="dxa"/>
        </w:tblCellMar>
      </w:tblPr>
      <w:tblGrid>
        <w:gridCol w:w="6661"/>
        <w:gridCol w:w="236"/>
        <w:gridCol w:w="1004"/>
        <w:gridCol w:w="189"/>
        <w:gridCol w:w="152"/>
        <w:gridCol w:w="236"/>
        <w:gridCol w:w="1004"/>
        <w:gridCol w:w="236"/>
      </w:tblGrid>
      <w:tr>
        <w:trPr/>
        <w:tc>
          <w:tcPr>
            <w:tcW w:w="9718" w:type="dxa"/>
            <w:gridSpan w:val="8"/>
            <w:tcBorders/>
            <w:vAlign w:val="center"/>
          </w:tcPr>
          <w:p>
            <w:pPr>
              <w:pStyle w:val="TableContents"/>
              <w:bidi w:val="0"/>
              <w:spacing w:before="0" w:after="283"/>
              <w:jc w:val="left"/>
              <w:rPr/>
            </w:pPr>
            <w:r>
              <w:rPr/>
              <w:t> </w:t>
            </w:r>
          </w:p>
        </w:tc>
      </w:tr>
      <w:tr>
        <w:trPr/>
        <w:tc>
          <w:tcPr>
            <w:tcW w:w="9718" w:type="dxa"/>
            <w:gridSpan w:val="8"/>
            <w:tcBorders/>
            <w:vAlign w:val="center"/>
          </w:tcPr>
          <w:p>
            <w:pPr>
              <w:pStyle w:val="TableContents"/>
              <w:bidi w:val="0"/>
              <w:spacing w:before="0" w:after="283"/>
              <w:jc w:val="center"/>
              <w:rPr/>
            </w:pPr>
            <w:r>
              <w:rPr>
                <w:rStyle w:val="StrongEmphasis"/>
              </w:rPr>
              <w:t>QUANEX BUILDING PRODUCTS CORPORATION</w:t>
            </w:r>
            <w:r>
              <w:rPr/>
              <w:br/>
            </w:r>
            <w:r>
              <w:rPr>
                <w:rStyle w:val="StrongEmphasis"/>
              </w:rPr>
              <w:t>CONDENSED CONSOLIDATED STATEMENTS OF CASH FLOW</w:t>
            </w:r>
            <w:r>
              <w:rPr/>
              <w:br/>
              <w:t>(In thousands)</w:t>
              <w:br/>
              <w:t>(Unaudited)</w:t>
            </w:r>
          </w:p>
        </w:tc>
      </w:tr>
      <w:tr>
        <w:trPr/>
        <w:tc>
          <w:tcPr>
            <w:tcW w:w="6661" w:type="dxa"/>
            <w:tcBorders/>
            <w:vAlign w:val="center"/>
          </w:tcPr>
          <w:p>
            <w:pPr>
              <w:pStyle w:val="TableContents"/>
              <w:bidi w:val="0"/>
              <w:spacing w:before="0" w:after="283"/>
              <w:jc w:val="center"/>
              <w:rPr/>
            </w:pPr>
            <w:r>
              <w:rPr/>
              <w:t> </w:t>
            </w:r>
          </w:p>
        </w:tc>
        <w:tc>
          <w:tcPr>
            <w:tcW w:w="1429" w:type="dxa"/>
            <w:gridSpan w:val="3"/>
            <w:tcBorders/>
            <w:vAlign w:val="center"/>
          </w:tcPr>
          <w:p>
            <w:pPr>
              <w:pStyle w:val="TableContents"/>
              <w:bidi w:val="0"/>
              <w:spacing w:before="0" w:after="283"/>
              <w:jc w:val="center"/>
              <w:rPr/>
            </w:pPr>
            <w:r>
              <w:rPr/>
              <w:t> </w:t>
            </w:r>
          </w:p>
        </w:tc>
        <w:tc>
          <w:tcPr>
            <w:tcW w:w="152" w:type="dxa"/>
            <w:tcBorders/>
            <w:vAlign w:val="center"/>
          </w:tcPr>
          <w:p>
            <w:pPr>
              <w:pStyle w:val="TableContents"/>
              <w:bidi w:val="0"/>
              <w:spacing w:before="0" w:after="283"/>
              <w:jc w:val="center"/>
              <w:rPr/>
            </w:pPr>
            <w:r>
              <w:rPr/>
              <w:t> </w:t>
            </w:r>
          </w:p>
        </w:tc>
        <w:tc>
          <w:tcPr>
            <w:tcW w:w="1476" w:type="dxa"/>
            <w:gridSpan w:val="3"/>
            <w:tcBorders/>
            <w:vAlign w:val="center"/>
          </w:tcPr>
          <w:p>
            <w:pPr>
              <w:pStyle w:val="TableContents"/>
              <w:bidi w:val="0"/>
              <w:spacing w:before="0" w:after="283"/>
              <w:jc w:val="center"/>
              <w:rPr/>
            </w:pPr>
            <w:r>
              <w:rPr/>
              <w:t> </w:t>
            </w:r>
          </w:p>
        </w:tc>
      </w:tr>
      <w:tr>
        <w:trPr/>
        <w:tc>
          <w:tcPr>
            <w:tcW w:w="6661" w:type="dxa"/>
            <w:tcBorders/>
            <w:vAlign w:val="center"/>
          </w:tcPr>
          <w:p>
            <w:pPr>
              <w:pStyle w:val="TableContents"/>
              <w:bidi w:val="0"/>
              <w:spacing w:before="0" w:after="283"/>
              <w:jc w:val="right"/>
              <w:rPr/>
            </w:pPr>
            <w:r>
              <w:rPr/>
              <w:t> </w:t>
            </w:r>
          </w:p>
        </w:tc>
        <w:tc>
          <w:tcPr>
            <w:tcW w:w="305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July 31,</w:t>
            </w:r>
          </w:p>
        </w:tc>
      </w:tr>
      <w:tr>
        <w:trPr/>
        <w:tc>
          <w:tcPr>
            <w:tcW w:w="6661" w:type="dxa"/>
            <w:tcBorders/>
            <w:vAlign w:val="center"/>
          </w:tcPr>
          <w:p>
            <w:pPr>
              <w:pStyle w:val="TableContents"/>
              <w:bidi w:val="0"/>
              <w:spacing w:before="0" w:after="283"/>
              <w:jc w:val="right"/>
              <w:rPr/>
            </w:pPr>
            <w:r>
              <w:rPr/>
              <w:t> </w:t>
            </w:r>
          </w:p>
        </w:tc>
        <w:tc>
          <w:tcPr>
            <w:tcW w:w="142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52" w:type="dxa"/>
            <w:tcBorders/>
            <w:vAlign w:val="center"/>
          </w:tcPr>
          <w:p>
            <w:pPr>
              <w:pStyle w:val="TableContents"/>
              <w:bidi w:val="0"/>
              <w:spacing w:before="0" w:after="283"/>
              <w:jc w:val="center"/>
              <w:rPr/>
            </w:pPr>
            <w:r>
              <w:rPr/>
              <w:t> </w:t>
            </w:r>
          </w:p>
        </w:tc>
        <w:tc>
          <w:tcPr>
            <w:tcW w:w="147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6661" w:type="dxa"/>
            <w:tcBorders/>
            <w:vAlign w:val="center"/>
          </w:tcPr>
          <w:p>
            <w:pPr>
              <w:pStyle w:val="TableContents"/>
              <w:bidi w:val="0"/>
              <w:spacing w:before="0" w:after="283"/>
              <w:jc w:val="left"/>
              <w:rPr/>
            </w:pPr>
            <w:r>
              <w:rPr>
                <w:rStyle w:val="StrongEmphasis"/>
              </w:rPr>
              <w:t>Operating activities:</w:t>
            </w:r>
          </w:p>
        </w:tc>
        <w:tc>
          <w:tcPr>
            <w:tcW w:w="1429" w:type="dxa"/>
            <w:gridSpan w:val="3"/>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1476" w:type="dxa"/>
            <w:gridSpan w:val="3"/>
            <w:tcBorders/>
            <w:vAlign w:val="center"/>
          </w:tcPr>
          <w:p>
            <w:pPr>
              <w:pStyle w:val="TableContents"/>
              <w:bidi w:val="0"/>
              <w:spacing w:before="0" w:after="283"/>
              <w:jc w:val="righ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Net (loss) income</w:t>
            </w:r>
          </w:p>
        </w:tc>
        <w:tc>
          <w:tcPr>
            <w:tcW w:w="236" w:type="dxa"/>
            <w:tcBorders/>
            <w:vAlign w:val="center"/>
          </w:tcPr>
          <w:p>
            <w:pPr>
              <w:pStyle w:val="TableContents"/>
              <w:bidi w:val="0"/>
              <w:spacing w:before="0" w:after="283"/>
              <w:jc w:val="right"/>
              <w:rPr/>
            </w:pPr>
            <w:r>
              <w:rPr/>
              <w:t>$</w:t>
            </w:r>
          </w:p>
        </w:tc>
        <w:tc>
          <w:tcPr>
            <w:tcW w:w="1004" w:type="dxa"/>
            <w:tcBorders/>
            <w:vAlign w:val="center"/>
          </w:tcPr>
          <w:p>
            <w:pPr>
              <w:pStyle w:val="TableContents"/>
              <w:bidi w:val="0"/>
              <w:spacing w:before="0" w:after="283"/>
              <w:jc w:val="right"/>
              <w:rPr/>
            </w:pPr>
            <w:r>
              <w:rPr/>
              <w:t>25,783</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w:t>
            </w:r>
          </w:p>
        </w:tc>
        <w:tc>
          <w:tcPr>
            <w:tcW w:w="1004" w:type="dxa"/>
            <w:tcBorders/>
            <w:vAlign w:val="center"/>
          </w:tcPr>
          <w:p>
            <w:pPr>
              <w:pStyle w:val="TableContents"/>
              <w:bidi w:val="0"/>
              <w:spacing w:before="0" w:after="283"/>
              <w:jc w:val="right"/>
              <w:rPr/>
            </w:pPr>
            <w:r>
              <w:rPr/>
              <w:t>(270,377</w:t>
            </w:r>
          </w:p>
        </w:tc>
        <w:tc>
          <w:tcPr>
            <w:tcW w:w="236" w:type="dxa"/>
            <w:tcBorders/>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Adjustments to reconcile net loss to cash used for operating activities:</w:t>
            </w:r>
          </w:p>
        </w:tc>
        <w:tc>
          <w:tcPr>
            <w:tcW w:w="1429" w:type="dxa"/>
            <w:gridSpan w:val="3"/>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right"/>
              <w:rPr/>
            </w:pPr>
            <w:r>
              <w:rPr/>
              <w:t> </w:t>
            </w:r>
          </w:p>
        </w:tc>
        <w:tc>
          <w:tcPr>
            <w:tcW w:w="1476" w:type="dxa"/>
            <w:gridSpan w:val="3"/>
            <w:tcBorders/>
            <w:vAlign w:val="center"/>
          </w:tcPr>
          <w:p>
            <w:pPr>
              <w:pStyle w:val="TableContents"/>
              <w:bidi w:val="0"/>
              <w:spacing w:before="0" w:after="283"/>
              <w:jc w:val="righ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73,037</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77,814</w:t>
            </w:r>
          </w:p>
        </w:tc>
        <w:tc>
          <w:tcPr>
            <w:tcW w:w="236"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3,617</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2,762</w:t>
            </w:r>
          </w:p>
        </w:tc>
        <w:tc>
          <w:tcPr>
            <w:tcW w:w="236"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Deferred income tax</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664</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(26,440</w:t>
            </w:r>
          </w:p>
        </w:tc>
        <w:tc>
          <w:tcPr>
            <w:tcW w:w="236" w:type="dxa"/>
            <w:tcBorders/>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Goodwill impairment charge</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302,284</w:t>
            </w:r>
          </w:p>
        </w:tc>
        <w:tc>
          <w:tcPr>
            <w:tcW w:w="236"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Other, net</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4,640</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9,203</w:t>
            </w:r>
          </w:p>
        </w:tc>
        <w:tc>
          <w:tcPr>
            <w:tcW w:w="236"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Changes in assets and liabilities:</w:t>
            </w:r>
          </w:p>
        </w:tc>
        <w:tc>
          <w:tcPr>
            <w:tcW w:w="1429" w:type="dxa"/>
            <w:gridSpan w:val="3"/>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right"/>
              <w:rPr/>
            </w:pPr>
            <w:r>
              <w:rPr/>
              <w:t> </w:t>
            </w:r>
          </w:p>
        </w:tc>
        <w:tc>
          <w:tcPr>
            <w:tcW w:w="1476" w:type="dxa"/>
            <w:gridSpan w:val="3"/>
            <w:tcBorders/>
            <w:vAlign w:val="center"/>
          </w:tcPr>
          <w:p>
            <w:pPr>
              <w:pStyle w:val="TableContents"/>
              <w:bidi w:val="0"/>
              <w:spacing w:before="0" w:after="283"/>
              <w:jc w:val="righ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Increase in accounts receivable</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(8,685</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(1,727</w:t>
            </w:r>
          </w:p>
        </w:tc>
        <w:tc>
          <w:tcPr>
            <w:tcW w:w="236" w:type="dxa"/>
            <w:tcBorders/>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(Increase) decrease in inventory</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(21,129</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5,261</w:t>
            </w:r>
          </w:p>
        </w:tc>
        <w:tc>
          <w:tcPr>
            <w:tcW w:w="236"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Increase in other current assets</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(4,430</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(7,228</w:t>
            </w:r>
          </w:p>
        </w:tc>
        <w:tc>
          <w:tcPr>
            <w:tcW w:w="236" w:type="dxa"/>
            <w:tcBorders/>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(Decrease) increase in accounts payable</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(2,365</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144</w:t>
            </w:r>
          </w:p>
        </w:tc>
        <w:tc>
          <w:tcPr>
            <w:tcW w:w="236"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Decrease in accrued liabilities</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(7,601</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(9,725</w:t>
            </w:r>
          </w:p>
        </w:tc>
        <w:tc>
          <w:tcPr>
            <w:tcW w:w="236" w:type="dxa"/>
            <w:tcBorders/>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Change in income taxes</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(6,629</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(21</w:t>
            </w:r>
          </w:p>
        </w:tc>
        <w:tc>
          <w:tcPr>
            <w:tcW w:w="236" w:type="dxa"/>
            <w:tcBorders/>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Other, net</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0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366</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0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(5,307</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661" w:type="dxa"/>
            <w:tcBorders/>
            <w:vAlign w:val="center"/>
          </w:tcPr>
          <w:p>
            <w:pPr>
              <w:pStyle w:val="TableContents"/>
              <w:bidi w:val="0"/>
              <w:spacing w:before="0" w:after="283"/>
              <w:jc w:val="left"/>
              <w:rPr/>
            </w:pPr>
            <w:r>
              <w:rPr/>
              <w:t>Cash provided by operating activities</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57,268</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76,643</w:t>
            </w:r>
          </w:p>
        </w:tc>
        <w:tc>
          <w:tcPr>
            <w:tcW w:w="236"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rStyle w:val="StrongEmphasis"/>
              </w:rPr>
              <w:t>Investing activities:</w:t>
            </w:r>
          </w:p>
        </w:tc>
        <w:tc>
          <w:tcPr>
            <w:tcW w:w="1429" w:type="dxa"/>
            <w:gridSpan w:val="3"/>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right"/>
              <w:rPr/>
            </w:pPr>
            <w:r>
              <w:rPr/>
              <w:t> </w:t>
            </w:r>
          </w:p>
        </w:tc>
        <w:tc>
          <w:tcPr>
            <w:tcW w:w="1476" w:type="dxa"/>
            <w:gridSpan w:val="3"/>
            <w:tcBorders/>
            <w:vAlign w:val="center"/>
          </w:tcPr>
          <w:p>
            <w:pPr>
              <w:pStyle w:val="TableContents"/>
              <w:bidi w:val="0"/>
              <w:spacing w:before="0" w:after="283"/>
              <w:jc w:val="righ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Capital expenditures</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(33,066</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(40,996</w:t>
            </w:r>
          </w:p>
        </w:tc>
        <w:tc>
          <w:tcPr>
            <w:tcW w:w="236" w:type="dxa"/>
            <w:tcBorders/>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Proceeds from disposition of capital assets</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0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62</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0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361</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Cash used for investing activities</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(33,004</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(40,635</w:t>
            </w:r>
          </w:p>
        </w:tc>
        <w:tc>
          <w:tcPr>
            <w:tcW w:w="236" w:type="dxa"/>
            <w:tcBorders/>
            <w:vAlign w:val="center"/>
          </w:tcPr>
          <w:p>
            <w:pPr>
              <w:pStyle w:val="TableContents"/>
              <w:bidi w:val="0"/>
              <w:spacing w:before="0" w:after="283"/>
              <w:jc w:val="left"/>
              <w:rPr/>
            </w:pPr>
            <w:r>
              <w:rPr/>
              <w:t>)</w:t>
            </w:r>
          </w:p>
        </w:tc>
      </w:tr>
      <w:tr>
        <w:trPr/>
        <w:tc>
          <w:tcPr>
            <w:tcW w:w="6661" w:type="dxa"/>
            <w:tcBorders/>
            <w:vAlign w:val="center"/>
          </w:tcPr>
          <w:p>
            <w:pPr>
              <w:pStyle w:val="TableContents"/>
              <w:bidi w:val="0"/>
              <w:spacing w:before="0" w:after="283"/>
              <w:jc w:val="left"/>
              <w:rPr/>
            </w:pPr>
            <w:r>
              <w:rPr>
                <w:rStyle w:val="StrongEmphasis"/>
              </w:rPr>
              <w:t>Financing activities:</w:t>
            </w:r>
          </w:p>
        </w:tc>
        <w:tc>
          <w:tcPr>
            <w:tcW w:w="1429" w:type="dxa"/>
            <w:gridSpan w:val="3"/>
            <w:tcBorders/>
            <w:vAlign w:val="center"/>
          </w:tcPr>
          <w:p>
            <w:pPr>
              <w:pStyle w:val="TableContents"/>
              <w:bidi w:val="0"/>
              <w:spacing w:before="0" w:after="283"/>
              <w:jc w:val="right"/>
              <w:rPr/>
            </w:pPr>
            <w:r>
              <w:rPr/>
              <w:t> </w:t>
            </w:r>
          </w:p>
        </w:tc>
        <w:tc>
          <w:tcPr>
            <w:tcW w:w="152" w:type="dxa"/>
            <w:tcBorders/>
            <w:vAlign w:val="center"/>
          </w:tcPr>
          <w:p>
            <w:pPr>
              <w:pStyle w:val="TableContents"/>
              <w:bidi w:val="0"/>
              <w:spacing w:before="0" w:after="283"/>
              <w:jc w:val="left"/>
              <w:rPr/>
            </w:pPr>
            <w:r>
              <w:rPr/>
              <w:t> </w:t>
            </w:r>
          </w:p>
        </w:tc>
        <w:tc>
          <w:tcPr>
            <w:tcW w:w="1476" w:type="dxa"/>
            <w:gridSpan w:val="3"/>
            <w:tcBorders/>
            <w:vAlign w:val="center"/>
          </w:tcPr>
          <w:p>
            <w:pPr>
              <w:pStyle w:val="TableContents"/>
              <w:bidi w:val="0"/>
              <w:spacing w:before="0" w:after="283"/>
              <w:jc w:val="righ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Borrowings under credit facilities</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141,500</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170,000</w:t>
            </w:r>
          </w:p>
        </w:tc>
        <w:tc>
          <w:tcPr>
            <w:tcW w:w="236"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Repayments of credit facility borrowings</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(164,250</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(213,750</w:t>
            </w:r>
          </w:p>
        </w:tc>
        <w:tc>
          <w:tcPr>
            <w:tcW w:w="236" w:type="dxa"/>
            <w:tcBorders/>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Repayments of other long-term debt</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(3,316</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(1,962</w:t>
            </w:r>
          </w:p>
        </w:tc>
        <w:tc>
          <w:tcPr>
            <w:tcW w:w="236" w:type="dxa"/>
            <w:tcBorders/>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Common stock dividends paid</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(10,916</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(11,233</w:t>
            </w:r>
          </w:p>
        </w:tc>
        <w:tc>
          <w:tcPr>
            <w:tcW w:w="236" w:type="dxa"/>
            <w:tcBorders/>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Purchase of treasury stock</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(1,707</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(29,248</w:t>
            </w:r>
          </w:p>
        </w:tc>
        <w:tc>
          <w:tcPr>
            <w:tcW w:w="236" w:type="dxa"/>
            <w:tcBorders/>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Other, net</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(704</w:t>
            </w:r>
          </w:p>
        </w:tc>
        <w:tc>
          <w:tcPr>
            <w:tcW w:w="189" w:type="dxa"/>
            <w:tcBorders/>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0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(1,186</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661" w:type="dxa"/>
            <w:tcBorders/>
            <w:vAlign w:val="center"/>
          </w:tcPr>
          <w:p>
            <w:pPr>
              <w:pStyle w:val="TableContents"/>
              <w:bidi w:val="0"/>
              <w:spacing w:before="0" w:after="283"/>
              <w:jc w:val="left"/>
              <w:rPr/>
            </w:pPr>
            <w:r>
              <w:rPr/>
              <w:t>Cash used for financing activities</w:t>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0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(39,393</w:t>
            </w:r>
          </w:p>
        </w:tc>
        <w:tc>
          <w:tcPr>
            <w:tcW w:w="18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left"/>
              <w:rPr/>
            </w:pPr>
            <w:r>
              <w:rPr/>
              <w:t> </w:t>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0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(87,379</w:t>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t>Effect of exchange rate changes on cash and cash equivalents</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1,228</w:t>
            </w:r>
          </w:p>
        </w:tc>
        <w:tc>
          <w:tcPr>
            <w:tcW w:w="189"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1004" w:type="dxa"/>
            <w:tcBorders/>
            <w:vAlign w:val="center"/>
          </w:tcPr>
          <w:p>
            <w:pPr>
              <w:pStyle w:val="TableContents"/>
              <w:bidi w:val="0"/>
              <w:spacing w:before="0" w:after="283"/>
              <w:jc w:val="right"/>
              <w:rPr/>
            </w:pPr>
            <w:r>
              <w:rPr/>
              <w:t>16,302</w:t>
            </w:r>
          </w:p>
        </w:tc>
        <w:tc>
          <w:tcPr>
            <w:tcW w:w="236"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Decrease in cash, cash equivalents and restricted cash</w:t>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0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(13,901</w:t>
            </w:r>
          </w:p>
        </w:tc>
        <w:tc>
          <w:tcPr>
            <w:tcW w:w="18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52" w:type="dxa"/>
            <w:tcBorders/>
            <w:vAlign w:val="center"/>
          </w:tcPr>
          <w:p>
            <w:pPr>
              <w:pStyle w:val="TableContents"/>
              <w:bidi w:val="0"/>
              <w:spacing w:before="0" w:after="283"/>
              <w:jc w:val="right"/>
              <w:rPr/>
            </w:pPr>
            <w:r>
              <w:rPr/>
              <w:t> </w:t>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0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(35,069</w:t>
            </w:r>
          </w:p>
        </w:tc>
        <w:tc>
          <w:tcPr>
            <w:tcW w:w="23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6661" w:type="dxa"/>
            <w:tcBorders/>
            <w:vAlign w:val="center"/>
          </w:tcPr>
          <w:p>
            <w:pPr>
              <w:pStyle w:val="TableContents"/>
              <w:bidi w:val="0"/>
              <w:spacing w:before="0" w:after="283"/>
              <w:jc w:val="left"/>
              <w:rPr/>
            </w:pPr>
            <w:r>
              <w:rPr/>
              <w:t>Cash, cash equivalents and restricted cash at beginning of period</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0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78,118</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0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102,995</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Cash, cash equivalents and restricted cash at end of period</w:t>
            </w:r>
          </w:p>
        </w:tc>
        <w:tc>
          <w:tcPr>
            <w:tcW w:w="2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0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64,217</w:t>
            </w:r>
          </w:p>
        </w:tc>
        <w:tc>
          <w:tcPr>
            <w:tcW w:w="18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right"/>
              <w:rPr/>
            </w:pPr>
            <w:r>
              <w:rPr/>
              <w:t> </w:t>
            </w:r>
          </w:p>
        </w:tc>
        <w:tc>
          <w:tcPr>
            <w:tcW w:w="2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04"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67,926</w:t>
            </w:r>
          </w:p>
        </w:tc>
        <w:tc>
          <w:tcPr>
            <w:tcW w:w="23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476" w:type="dxa"/>
            <w:gridSpan w:val="3"/>
            <w:tcBorders/>
            <w:vAlign w:val="center"/>
          </w:tcPr>
          <w:p>
            <w:pPr>
              <w:pStyle w:val="TableContents"/>
              <w:bidi w:val="0"/>
              <w:spacing w:before="0" w:after="283"/>
              <w:jc w:val="left"/>
              <w:rPr/>
            </w:pPr>
            <w:r>
              <w:rPr/>
              <w:t> </w:t>
            </w:r>
          </w:p>
        </w:tc>
      </w:tr>
    </w:tbl>
    <w:p>
      <w:pPr>
        <w:pStyle w:val="TextBody"/>
        <w:bidi w:val="0"/>
        <w:jc w:val="left"/>
        <w:rPr/>
      </w:pPr>
      <w:r>
        <w:rPr/>
      </w:r>
    </w:p>
    <w:tbl>
      <w:tblPr>
        <w:tblW w:w="10205" w:type="dxa"/>
        <w:jc w:val="left"/>
        <w:tblInd w:w="0" w:type="dxa"/>
        <w:tblLayout w:type="fixed"/>
        <w:tblCellMar>
          <w:top w:w="28" w:type="dxa"/>
          <w:left w:w="28" w:type="dxa"/>
          <w:bottom w:w="28" w:type="dxa"/>
          <w:right w:w="28" w:type="dxa"/>
        </w:tblCellMar>
      </w:tblPr>
      <w:tblGrid>
        <w:gridCol w:w="2988"/>
        <w:gridCol w:w="301"/>
        <w:gridCol w:w="1180"/>
        <w:gridCol w:w="241"/>
        <w:gridCol w:w="194"/>
        <w:gridCol w:w="301"/>
        <w:gridCol w:w="1180"/>
        <w:gridCol w:w="241"/>
        <w:gridCol w:w="194"/>
        <w:gridCol w:w="301"/>
        <w:gridCol w:w="1020"/>
        <w:gridCol w:w="241"/>
        <w:gridCol w:w="194"/>
        <w:gridCol w:w="301"/>
        <w:gridCol w:w="1020"/>
        <w:gridCol w:w="308"/>
      </w:tblGrid>
      <w:tr>
        <w:trPr/>
        <w:tc>
          <w:tcPr>
            <w:tcW w:w="10205" w:type="dxa"/>
            <w:gridSpan w:val="16"/>
            <w:tcBorders/>
            <w:vAlign w:val="center"/>
          </w:tcPr>
          <w:p>
            <w:pPr>
              <w:pStyle w:val="TableContents"/>
              <w:bidi w:val="0"/>
              <w:spacing w:before="0" w:after="283"/>
              <w:jc w:val="left"/>
              <w:rPr/>
            </w:pPr>
            <w:r>
              <w:rPr/>
              <w:t> </w:t>
            </w:r>
          </w:p>
        </w:tc>
      </w:tr>
      <w:tr>
        <w:trPr/>
        <w:tc>
          <w:tcPr>
            <w:tcW w:w="10205" w:type="dxa"/>
            <w:gridSpan w:val="16"/>
            <w:tcBorders/>
            <w:vAlign w:val="center"/>
          </w:tcPr>
          <w:p>
            <w:pPr>
              <w:pStyle w:val="TableContents"/>
              <w:bidi w:val="0"/>
              <w:spacing w:before="0" w:after="283"/>
              <w:jc w:val="center"/>
              <w:rPr/>
            </w:pPr>
            <w:r>
              <w:rPr>
                <w:rStyle w:val="StrongEmphasis"/>
              </w:rPr>
              <w:t>QUANEX BUILDING PRODUCTS CORPORATION</w:t>
            </w:r>
            <w:r>
              <w:rPr/>
              <w:br/>
            </w:r>
            <w:r>
              <w:rPr>
                <w:rStyle w:val="StrongEmphasis"/>
              </w:rPr>
              <w:t>FREE CASH FLOW AND NET DEBT RECONCILIATION</w:t>
            </w:r>
            <w:r>
              <w:rPr/>
              <w:br/>
              <w:t>(In thousands)</w:t>
              <w:br/>
              <w:t>(Unaudited)</w:t>
            </w:r>
          </w:p>
        </w:tc>
      </w:tr>
      <w:tr>
        <w:trPr/>
        <w:tc>
          <w:tcPr>
            <w:tcW w:w="2988" w:type="dxa"/>
            <w:tcBorders/>
            <w:vAlign w:val="center"/>
          </w:tcPr>
          <w:p>
            <w:pPr>
              <w:pStyle w:val="TableContents"/>
              <w:bidi w:val="0"/>
              <w:spacing w:before="0" w:after="283"/>
              <w:jc w:val="right"/>
              <w:rPr/>
            </w:pPr>
            <w:r>
              <w:rPr/>
              <w:t> </w:t>
            </w:r>
          </w:p>
        </w:tc>
        <w:tc>
          <w:tcPr>
            <w:tcW w:w="1481" w:type="dxa"/>
            <w:gridSpan w:val="2"/>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1481" w:type="dxa"/>
            <w:gridSpan w:val="2"/>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1321" w:type="dxa"/>
            <w:gridSpan w:val="2"/>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1321" w:type="dxa"/>
            <w:gridSpan w:val="2"/>
            <w:tcBorders/>
            <w:vAlign w:val="center"/>
          </w:tcPr>
          <w:p>
            <w:pPr>
              <w:pStyle w:val="TableContents"/>
              <w:bidi w:val="0"/>
              <w:spacing w:before="0" w:after="283"/>
              <w:jc w:val="right"/>
              <w:rPr/>
            </w:pPr>
            <w:r>
              <w:rPr/>
              <w:t> </w:t>
            </w:r>
          </w:p>
        </w:tc>
        <w:tc>
          <w:tcPr>
            <w:tcW w:w="308" w:type="dxa"/>
            <w:tcBorders/>
            <w:vAlign w:val="center"/>
          </w:tcPr>
          <w:p>
            <w:pPr>
              <w:pStyle w:val="TableContents"/>
              <w:bidi w:val="0"/>
              <w:spacing w:before="0" w:after="283"/>
              <w:jc w:val="right"/>
              <w:rPr/>
            </w:pPr>
            <w:r>
              <w:rPr/>
              <w:t> </w:t>
            </w:r>
          </w:p>
        </w:tc>
      </w:tr>
      <w:tr>
        <w:trPr/>
        <w:tc>
          <w:tcPr>
            <w:tcW w:w="10205" w:type="dxa"/>
            <w:gridSpan w:val="16"/>
            <w:tcBorders/>
            <w:vAlign w:val="center"/>
          </w:tcPr>
          <w:p>
            <w:pPr>
              <w:pStyle w:val="TableContents"/>
              <w:bidi w:val="0"/>
              <w:spacing w:before="0" w:after="283"/>
              <w:jc w:val="left"/>
              <w:rPr/>
            </w:pPr>
            <w:r>
              <w:rPr/>
              <w:t>The following table reconciles the Company's calculation of Free Cash Flow, a non-GAAP measure, to its most directly comparable GAAP measure. The Company defines Free Cash Flow as cash provided by operating activities less capital expenditures.</w:t>
            </w:r>
          </w:p>
        </w:tc>
      </w:tr>
      <w:tr>
        <w:trPr/>
        <w:tc>
          <w:tcPr>
            <w:tcW w:w="2988" w:type="dxa"/>
            <w:tcBorders/>
            <w:vAlign w:val="center"/>
          </w:tcPr>
          <w:p>
            <w:pPr>
              <w:pStyle w:val="TableContents"/>
              <w:bidi w:val="0"/>
              <w:spacing w:before="0" w:after="283"/>
              <w:jc w:val="left"/>
              <w:rPr/>
            </w:pPr>
            <w:r>
              <w:rPr/>
              <w:t> </w:t>
            </w:r>
          </w:p>
        </w:tc>
        <w:tc>
          <w:tcPr>
            <w:tcW w:w="1916" w:type="dxa"/>
            <w:gridSpan w:val="4"/>
            <w:tcBorders/>
            <w:vAlign w:val="center"/>
          </w:tcPr>
          <w:p>
            <w:pPr>
              <w:pStyle w:val="TableContents"/>
              <w:bidi w:val="0"/>
              <w:spacing w:before="0" w:after="283"/>
              <w:jc w:val="left"/>
              <w:rPr/>
            </w:pPr>
            <w:r>
              <w:rPr/>
              <w:t> </w:t>
            </w:r>
          </w:p>
        </w:tc>
        <w:tc>
          <w:tcPr>
            <w:tcW w:w="148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756" w:type="dxa"/>
            <w:gridSpan w:val="4"/>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r>
      <w:tr>
        <w:trPr/>
        <w:tc>
          <w:tcPr>
            <w:tcW w:w="2988" w:type="dxa"/>
            <w:tcBorders/>
            <w:vAlign w:val="center"/>
          </w:tcPr>
          <w:p>
            <w:pPr>
              <w:pStyle w:val="TableContents"/>
              <w:bidi w:val="0"/>
              <w:spacing w:before="0" w:after="283"/>
              <w:jc w:val="right"/>
              <w:rPr/>
            </w:pPr>
            <w:r>
              <w:rPr/>
              <w:t> </w:t>
            </w:r>
          </w:p>
        </w:tc>
        <w:tc>
          <w:tcPr>
            <w:tcW w:w="3638"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July 31,</w:t>
            </w:r>
          </w:p>
        </w:tc>
        <w:tc>
          <w:tcPr>
            <w:tcW w:w="194" w:type="dxa"/>
            <w:tcBorders/>
            <w:vAlign w:val="center"/>
          </w:tcPr>
          <w:p>
            <w:pPr>
              <w:pStyle w:val="TableContents"/>
              <w:bidi w:val="0"/>
              <w:spacing w:before="0" w:after="283"/>
              <w:jc w:val="right"/>
              <w:rPr/>
            </w:pPr>
            <w:r>
              <w:rPr/>
              <w:t> </w:t>
            </w:r>
          </w:p>
        </w:tc>
        <w:tc>
          <w:tcPr>
            <w:tcW w:w="3385"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July 31,</w:t>
            </w:r>
          </w:p>
        </w:tc>
      </w:tr>
      <w:tr>
        <w:trPr/>
        <w:tc>
          <w:tcPr>
            <w:tcW w:w="2988" w:type="dxa"/>
            <w:tcBorders/>
            <w:vAlign w:val="center"/>
          </w:tcPr>
          <w:p>
            <w:pPr>
              <w:pStyle w:val="TableContents"/>
              <w:bidi w:val="0"/>
              <w:spacing w:before="0" w:after="283"/>
              <w:jc w:val="right"/>
              <w:rPr/>
            </w:pPr>
            <w:r>
              <w:rPr/>
              <w:t> </w:t>
            </w:r>
          </w:p>
        </w:tc>
        <w:tc>
          <w:tcPr>
            <w:tcW w:w="172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4" w:type="dxa"/>
            <w:tcBorders/>
            <w:vAlign w:val="center"/>
          </w:tcPr>
          <w:p>
            <w:pPr>
              <w:pStyle w:val="TableContents"/>
              <w:bidi w:val="0"/>
              <w:spacing w:before="0" w:after="283"/>
              <w:jc w:val="center"/>
              <w:rPr/>
            </w:pPr>
            <w:r>
              <w:rPr/>
              <w:t> </w:t>
            </w:r>
          </w:p>
        </w:tc>
        <w:tc>
          <w:tcPr>
            <w:tcW w:w="172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94" w:type="dxa"/>
            <w:tcBorders/>
            <w:vAlign w:val="center"/>
          </w:tcPr>
          <w:p>
            <w:pPr>
              <w:pStyle w:val="TableContents"/>
              <w:bidi w:val="0"/>
              <w:spacing w:before="0" w:after="283"/>
              <w:jc w:val="right"/>
              <w:rPr/>
            </w:pPr>
            <w:r>
              <w:rPr/>
              <w:t> </w:t>
            </w:r>
          </w:p>
        </w:tc>
        <w:tc>
          <w:tcPr>
            <w:tcW w:w="15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4" w:type="dxa"/>
            <w:tcBorders/>
            <w:vAlign w:val="center"/>
          </w:tcPr>
          <w:p>
            <w:pPr>
              <w:pStyle w:val="TableContents"/>
              <w:bidi w:val="0"/>
              <w:spacing w:before="0" w:after="283"/>
              <w:jc w:val="center"/>
              <w:rPr/>
            </w:pPr>
            <w:r>
              <w:rPr/>
              <w:t> </w:t>
            </w:r>
          </w:p>
        </w:tc>
        <w:tc>
          <w:tcPr>
            <w:tcW w:w="162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2988" w:type="dxa"/>
            <w:tcBorders/>
            <w:vAlign w:val="center"/>
          </w:tcPr>
          <w:p>
            <w:pPr>
              <w:pStyle w:val="TableContents"/>
              <w:bidi w:val="0"/>
              <w:spacing w:before="0" w:after="283"/>
              <w:jc w:val="left"/>
              <w:rPr/>
            </w:pPr>
            <w:r>
              <w:rPr/>
              <w:t>Cash provided by operating activities</w:t>
            </w:r>
          </w:p>
        </w:tc>
        <w:tc>
          <w:tcPr>
            <w:tcW w:w="301" w:type="dxa"/>
            <w:tcBorders/>
            <w:vAlign w:val="center"/>
          </w:tcPr>
          <w:p>
            <w:pPr>
              <w:pStyle w:val="TableContents"/>
              <w:bidi w:val="0"/>
              <w:spacing w:before="0" w:after="283"/>
              <w:jc w:val="right"/>
              <w:rPr/>
            </w:pPr>
            <w:r>
              <w:rPr/>
              <w:t>$</w:t>
            </w:r>
          </w:p>
        </w:tc>
        <w:tc>
          <w:tcPr>
            <w:tcW w:w="1180" w:type="dxa"/>
            <w:tcBorders/>
            <w:vAlign w:val="center"/>
          </w:tcPr>
          <w:p>
            <w:pPr>
              <w:pStyle w:val="TableContents"/>
              <w:bidi w:val="0"/>
              <w:spacing w:before="0" w:after="283"/>
              <w:jc w:val="right"/>
              <w:rPr/>
            </w:pPr>
            <w:r>
              <w:rPr/>
              <w:t>58,554</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w:t>
            </w:r>
          </w:p>
        </w:tc>
        <w:tc>
          <w:tcPr>
            <w:tcW w:w="1180" w:type="dxa"/>
            <w:tcBorders/>
            <w:vAlign w:val="center"/>
          </w:tcPr>
          <w:p>
            <w:pPr>
              <w:pStyle w:val="TableContents"/>
              <w:bidi w:val="0"/>
              <w:spacing w:before="0" w:after="283"/>
              <w:jc w:val="right"/>
              <w:rPr/>
            </w:pPr>
            <w:r>
              <w:rPr/>
              <w:t>60,656</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right"/>
              <w:rPr/>
            </w:pPr>
            <w:r>
              <w:rPr/>
              <w:t>$</w:t>
            </w:r>
          </w:p>
        </w:tc>
        <w:tc>
          <w:tcPr>
            <w:tcW w:w="1020" w:type="dxa"/>
            <w:tcBorders/>
            <w:vAlign w:val="center"/>
          </w:tcPr>
          <w:p>
            <w:pPr>
              <w:pStyle w:val="TableContents"/>
              <w:bidi w:val="0"/>
              <w:spacing w:before="0" w:after="283"/>
              <w:jc w:val="right"/>
              <w:rPr/>
            </w:pPr>
            <w:r>
              <w:rPr/>
              <w:t>57,268</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right"/>
              <w:rPr/>
            </w:pPr>
            <w:r>
              <w:rPr/>
              <w:t>$</w:t>
            </w:r>
          </w:p>
        </w:tc>
        <w:tc>
          <w:tcPr>
            <w:tcW w:w="1020" w:type="dxa"/>
            <w:tcBorders/>
            <w:vAlign w:val="center"/>
          </w:tcPr>
          <w:p>
            <w:pPr>
              <w:pStyle w:val="TableContents"/>
              <w:bidi w:val="0"/>
              <w:spacing w:before="0" w:after="283"/>
              <w:jc w:val="right"/>
              <w:rPr/>
            </w:pPr>
            <w:r>
              <w:rPr/>
              <w:t>76,643</w:t>
            </w:r>
          </w:p>
        </w:tc>
        <w:tc>
          <w:tcPr>
            <w:tcW w:w="308" w:type="dxa"/>
            <w:tcBorders/>
            <w:vAlign w:val="center"/>
          </w:tcPr>
          <w:p>
            <w:pPr>
              <w:pStyle w:val="TableContents"/>
              <w:bidi w:val="0"/>
              <w:spacing w:before="0" w:after="283"/>
              <w:jc w:val="right"/>
              <w:rPr/>
            </w:pPr>
            <w:r>
              <w:rPr/>
              <w:t> </w:t>
            </w:r>
          </w:p>
        </w:tc>
      </w:tr>
      <w:tr>
        <w:trPr/>
        <w:tc>
          <w:tcPr>
            <w:tcW w:w="2988" w:type="dxa"/>
            <w:tcBorders/>
            <w:vAlign w:val="center"/>
          </w:tcPr>
          <w:p>
            <w:pPr>
              <w:pStyle w:val="TableContents"/>
              <w:bidi w:val="0"/>
              <w:spacing w:before="0" w:after="283"/>
              <w:jc w:val="left"/>
              <w:rPr/>
            </w:pPr>
            <w:r>
              <w:rPr/>
              <w:t>Capital expenditures</w:t>
            </w:r>
          </w:p>
        </w:tc>
        <w:tc>
          <w:tcPr>
            <w:tcW w:w="1481"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(10,744</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4" w:type="dxa"/>
            <w:tcBorders/>
            <w:vAlign w:val="center"/>
          </w:tcPr>
          <w:p>
            <w:pPr>
              <w:pStyle w:val="TableContents"/>
              <w:bidi w:val="0"/>
              <w:spacing w:before="0" w:after="283"/>
              <w:jc w:val="right"/>
              <w:rPr/>
            </w:pPr>
            <w:r>
              <w:rPr/>
              <w:t> </w:t>
            </w:r>
          </w:p>
        </w:tc>
        <w:tc>
          <w:tcPr>
            <w:tcW w:w="1481"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(14,452</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4" w:type="dxa"/>
            <w:tcBorders/>
            <w:vAlign w:val="center"/>
          </w:tcPr>
          <w:p>
            <w:pPr>
              <w:pStyle w:val="TableContents"/>
              <w:bidi w:val="0"/>
              <w:spacing w:before="0" w:after="283"/>
              <w:jc w:val="left"/>
              <w:rPr/>
            </w:pPr>
            <w:r>
              <w:rPr/>
              <w:t> </w:t>
            </w:r>
          </w:p>
        </w:tc>
        <w:tc>
          <w:tcPr>
            <w:tcW w:w="1321"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(33,066</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4" w:type="dxa"/>
            <w:tcBorders/>
            <w:vAlign w:val="center"/>
          </w:tcPr>
          <w:p>
            <w:pPr>
              <w:pStyle w:val="TableContents"/>
              <w:bidi w:val="0"/>
              <w:spacing w:before="0" w:after="283"/>
              <w:jc w:val="right"/>
              <w:rPr/>
            </w:pPr>
            <w:r>
              <w:rPr/>
              <w:t> </w:t>
            </w:r>
          </w:p>
        </w:tc>
        <w:tc>
          <w:tcPr>
            <w:tcW w:w="1321"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(40,996</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988" w:type="dxa"/>
            <w:tcBorders/>
            <w:vAlign w:val="center"/>
          </w:tcPr>
          <w:p>
            <w:pPr>
              <w:pStyle w:val="TableContents"/>
              <w:bidi w:val="0"/>
              <w:spacing w:before="0" w:after="283"/>
              <w:jc w:val="left"/>
              <w:rPr/>
            </w:pPr>
            <w:r>
              <w:rPr>
                <w:rStyle w:val="StrongEmphasis"/>
              </w:rPr>
              <w:t>Free Cash Flow</w:t>
            </w:r>
          </w:p>
        </w:tc>
        <w:tc>
          <w:tcPr>
            <w:tcW w:w="301" w:type="dxa"/>
            <w:tcBorders/>
            <w:vAlign w:val="center"/>
          </w:tcPr>
          <w:p>
            <w:pPr>
              <w:pStyle w:val="TableContents"/>
              <w:bidi w:val="0"/>
              <w:spacing w:before="0" w:after="283"/>
              <w:jc w:val="right"/>
              <w:rPr/>
            </w:pPr>
            <w:r>
              <w:rPr>
                <w:rStyle w:val="StrongEmphasis"/>
              </w:rPr>
              <w:t>$</w:t>
            </w:r>
          </w:p>
        </w:tc>
        <w:tc>
          <w:tcPr>
            <w:tcW w:w="1180" w:type="dxa"/>
            <w:tcBorders/>
            <w:vAlign w:val="center"/>
          </w:tcPr>
          <w:p>
            <w:pPr>
              <w:pStyle w:val="TableContents"/>
              <w:bidi w:val="0"/>
              <w:spacing w:before="0" w:after="283"/>
              <w:jc w:val="right"/>
              <w:rPr/>
            </w:pPr>
            <w:r>
              <w:rPr>
                <w:rStyle w:val="StrongEmphasis"/>
              </w:rPr>
              <w:t>47,810</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rStyle w:val="StrongEmphasis"/>
              </w:rPr>
              <w:t>$</w:t>
            </w:r>
          </w:p>
        </w:tc>
        <w:tc>
          <w:tcPr>
            <w:tcW w:w="1180" w:type="dxa"/>
            <w:tcBorders/>
            <w:vAlign w:val="center"/>
          </w:tcPr>
          <w:p>
            <w:pPr>
              <w:pStyle w:val="TableContents"/>
              <w:bidi w:val="0"/>
              <w:spacing w:before="0" w:after="283"/>
              <w:jc w:val="right"/>
              <w:rPr/>
            </w:pPr>
            <w:r>
              <w:rPr>
                <w:rStyle w:val="StrongEmphasis"/>
              </w:rPr>
              <w:t>46,204</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right"/>
              <w:rPr/>
            </w:pPr>
            <w:r>
              <w:rPr>
                <w:rStyle w:val="StrongEmphasis"/>
              </w:rPr>
              <w:t>$</w:t>
            </w:r>
          </w:p>
        </w:tc>
        <w:tc>
          <w:tcPr>
            <w:tcW w:w="1020" w:type="dxa"/>
            <w:tcBorders/>
            <w:vAlign w:val="center"/>
          </w:tcPr>
          <w:p>
            <w:pPr>
              <w:pStyle w:val="TableContents"/>
              <w:bidi w:val="0"/>
              <w:spacing w:before="0" w:after="283"/>
              <w:jc w:val="right"/>
              <w:rPr/>
            </w:pPr>
            <w:r>
              <w:rPr>
                <w:rStyle w:val="StrongEmphasis"/>
              </w:rPr>
              <w:t>24,202</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rStyle w:val="StrongEmphasis"/>
              </w:rPr>
              <w:t>$</w:t>
            </w:r>
          </w:p>
        </w:tc>
        <w:tc>
          <w:tcPr>
            <w:tcW w:w="1020" w:type="dxa"/>
            <w:tcBorders/>
            <w:vAlign w:val="center"/>
          </w:tcPr>
          <w:p>
            <w:pPr>
              <w:pStyle w:val="TableContents"/>
              <w:bidi w:val="0"/>
              <w:spacing w:before="0" w:after="283"/>
              <w:jc w:val="right"/>
              <w:rPr/>
            </w:pPr>
            <w:r>
              <w:rPr>
                <w:rStyle w:val="StrongEmphasis"/>
              </w:rPr>
              <w:t>35,647</w:t>
            </w:r>
          </w:p>
        </w:tc>
        <w:tc>
          <w:tcPr>
            <w:tcW w:w="308" w:type="dxa"/>
            <w:tcBorders/>
            <w:vAlign w:val="center"/>
          </w:tcPr>
          <w:p>
            <w:pPr>
              <w:pStyle w:val="TableContents"/>
              <w:bidi w:val="0"/>
              <w:spacing w:before="0" w:after="283"/>
              <w:jc w:val="right"/>
              <w:rPr/>
            </w:pPr>
            <w:r>
              <w:rPr/>
              <w:t> </w:t>
            </w:r>
          </w:p>
        </w:tc>
      </w:tr>
      <w:tr>
        <w:trPr/>
        <w:tc>
          <w:tcPr>
            <w:tcW w:w="2988" w:type="dxa"/>
            <w:tcBorders/>
            <w:vAlign w:val="center"/>
          </w:tcPr>
          <w:p>
            <w:pPr>
              <w:pStyle w:val="TableContents"/>
              <w:bidi w:val="0"/>
              <w:spacing w:before="0" w:after="283"/>
              <w:jc w:val="left"/>
              <w:rPr/>
            </w:pPr>
            <w:r>
              <w:rPr/>
              <w:t> </w:t>
            </w:r>
          </w:p>
        </w:tc>
        <w:tc>
          <w:tcPr>
            <w:tcW w:w="148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48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r>
      <w:tr>
        <w:trPr/>
        <w:tc>
          <w:tcPr>
            <w:tcW w:w="2988" w:type="dxa"/>
            <w:tcBorders/>
            <w:vAlign w:val="center"/>
          </w:tcPr>
          <w:p>
            <w:pPr>
              <w:pStyle w:val="TableContents"/>
              <w:bidi w:val="0"/>
              <w:spacing w:before="0" w:after="283"/>
              <w:jc w:val="right"/>
              <w:rPr/>
            </w:pPr>
            <w:r>
              <w:rPr/>
              <w:t> </w:t>
            </w:r>
          </w:p>
        </w:tc>
        <w:tc>
          <w:tcPr>
            <w:tcW w:w="148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48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r>
      <w:tr>
        <w:trPr/>
        <w:tc>
          <w:tcPr>
            <w:tcW w:w="10205" w:type="dxa"/>
            <w:gridSpan w:val="16"/>
            <w:tcBorders/>
            <w:vAlign w:val="center"/>
          </w:tcPr>
          <w:p>
            <w:pPr>
              <w:pStyle w:val="TableContents"/>
              <w:bidi w:val="0"/>
              <w:spacing w:before="0" w:after="283"/>
              <w:jc w:val="left"/>
              <w:rPr/>
            </w:pPr>
            <w:r>
              <w:rPr/>
              <w:t>The following table reconciles the Company's Net Debt which is defined as total debt principal of the Company plus finance lease obligations minus cash.</w:t>
            </w:r>
          </w:p>
        </w:tc>
      </w:tr>
      <w:tr>
        <w:trPr/>
        <w:tc>
          <w:tcPr>
            <w:tcW w:w="2988" w:type="dxa"/>
            <w:tcBorders/>
            <w:vAlign w:val="center"/>
          </w:tcPr>
          <w:p>
            <w:pPr>
              <w:pStyle w:val="TableContents"/>
              <w:bidi w:val="0"/>
              <w:spacing w:before="0" w:after="283"/>
              <w:jc w:val="left"/>
              <w:rPr/>
            </w:pPr>
            <w:r>
              <w:rPr/>
              <w:t> </w:t>
            </w:r>
          </w:p>
        </w:tc>
        <w:tc>
          <w:tcPr>
            <w:tcW w:w="148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481" w:type="dxa"/>
            <w:gridSpan w:val="2"/>
            <w:tcBorders/>
            <w:vAlign w:val="center"/>
          </w:tcPr>
          <w:p>
            <w:pPr>
              <w:pStyle w:val="TableContents"/>
              <w:bidi w:val="0"/>
              <w:spacing w:before="0" w:after="283"/>
              <w:jc w:val="center"/>
              <w:rPr/>
            </w:pPr>
            <w:r>
              <w:rPr/>
              <w:t> </w:t>
            </w:r>
          </w:p>
        </w:tc>
        <w:tc>
          <w:tcPr>
            <w:tcW w:w="241" w:type="dxa"/>
            <w:tcBorders/>
            <w:vAlign w:val="center"/>
          </w:tcPr>
          <w:p>
            <w:pPr>
              <w:pStyle w:val="TableContents"/>
              <w:bidi w:val="0"/>
              <w:spacing w:before="0" w:after="283"/>
              <w:jc w:val="center"/>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r>
      <w:tr>
        <w:trPr/>
        <w:tc>
          <w:tcPr>
            <w:tcW w:w="2988" w:type="dxa"/>
            <w:tcBorders/>
            <w:vAlign w:val="center"/>
          </w:tcPr>
          <w:p>
            <w:pPr>
              <w:pStyle w:val="TableContents"/>
              <w:bidi w:val="0"/>
              <w:spacing w:before="0" w:after="283"/>
              <w:jc w:val="left"/>
              <w:rPr/>
            </w:pPr>
            <w:r>
              <w:rPr/>
              <w:t> </w:t>
            </w:r>
          </w:p>
        </w:tc>
        <w:tc>
          <w:tcPr>
            <w:tcW w:w="3638"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As of July 31,</w:t>
            </w:r>
          </w:p>
        </w:tc>
        <w:tc>
          <w:tcPr>
            <w:tcW w:w="194" w:type="dxa"/>
            <w:tcBorders/>
            <w:vAlign w:val="center"/>
          </w:tcPr>
          <w:p>
            <w:pPr>
              <w:pStyle w:val="TableContents"/>
              <w:bidi w:val="0"/>
              <w:spacing w:before="0" w:after="283"/>
              <w:jc w:val="left"/>
              <w:rPr/>
            </w:pPr>
            <w:r>
              <w:rPr/>
              <w:t> </w:t>
            </w:r>
          </w:p>
        </w:tc>
        <w:tc>
          <w:tcPr>
            <w:tcW w:w="1756" w:type="dxa"/>
            <w:gridSpan w:val="4"/>
            <w:tcBorders/>
            <w:vAlign w:val="center"/>
          </w:tcPr>
          <w:p>
            <w:pPr>
              <w:pStyle w:val="TableContents"/>
              <w:bidi w:val="0"/>
              <w:spacing w:before="0" w:after="283"/>
              <w:jc w:val="center"/>
              <w:rPr/>
            </w:pPr>
            <w:r>
              <w:rPr/>
              <w:t> </w:t>
            </w:r>
          </w:p>
        </w:tc>
        <w:tc>
          <w:tcPr>
            <w:tcW w:w="1321" w:type="dxa"/>
            <w:gridSpan w:val="2"/>
            <w:tcBorders/>
            <w:vAlign w:val="center"/>
          </w:tcPr>
          <w:p>
            <w:pPr>
              <w:pStyle w:val="TableContents"/>
              <w:bidi w:val="0"/>
              <w:spacing w:before="0" w:after="283"/>
              <w:jc w:val="center"/>
              <w:rPr/>
            </w:pPr>
            <w:r>
              <w:rPr/>
              <w:t> </w:t>
            </w:r>
          </w:p>
        </w:tc>
        <w:tc>
          <w:tcPr>
            <w:tcW w:w="308" w:type="dxa"/>
            <w:tcBorders/>
            <w:vAlign w:val="center"/>
          </w:tcPr>
          <w:p>
            <w:pPr>
              <w:pStyle w:val="TableContents"/>
              <w:bidi w:val="0"/>
              <w:spacing w:before="0" w:after="283"/>
              <w:jc w:val="center"/>
              <w:rPr/>
            </w:pPr>
            <w:r>
              <w:rPr/>
              <w:t> </w:t>
            </w:r>
          </w:p>
        </w:tc>
      </w:tr>
      <w:tr>
        <w:trPr/>
        <w:tc>
          <w:tcPr>
            <w:tcW w:w="2988" w:type="dxa"/>
            <w:tcBorders/>
            <w:vAlign w:val="center"/>
          </w:tcPr>
          <w:p>
            <w:pPr>
              <w:pStyle w:val="TableContents"/>
              <w:bidi w:val="0"/>
              <w:spacing w:before="0" w:after="283"/>
              <w:jc w:val="right"/>
              <w:rPr/>
            </w:pPr>
            <w:r>
              <w:rPr/>
              <w:t> </w:t>
            </w:r>
          </w:p>
        </w:tc>
        <w:tc>
          <w:tcPr>
            <w:tcW w:w="172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94" w:type="dxa"/>
            <w:tcBorders/>
            <w:vAlign w:val="center"/>
          </w:tcPr>
          <w:p>
            <w:pPr>
              <w:pStyle w:val="TableContents"/>
              <w:bidi w:val="0"/>
              <w:spacing w:before="0" w:after="283"/>
              <w:jc w:val="center"/>
              <w:rPr/>
            </w:pPr>
            <w:r>
              <w:rPr/>
              <w:t> </w:t>
            </w:r>
          </w:p>
        </w:tc>
        <w:tc>
          <w:tcPr>
            <w:tcW w:w="172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center"/>
              <w:rPr/>
            </w:pPr>
            <w:r>
              <w:rPr/>
              <w:t> </w:t>
            </w:r>
          </w:p>
        </w:tc>
        <w:tc>
          <w:tcPr>
            <w:tcW w:w="241" w:type="dxa"/>
            <w:tcBorders/>
            <w:vAlign w:val="center"/>
          </w:tcPr>
          <w:p>
            <w:pPr>
              <w:pStyle w:val="TableContents"/>
              <w:bidi w:val="0"/>
              <w:spacing w:before="0" w:after="283"/>
              <w:jc w:val="center"/>
              <w:rPr/>
            </w:pPr>
            <w:r>
              <w:rPr/>
              <w:t> </w:t>
            </w:r>
          </w:p>
        </w:tc>
        <w:tc>
          <w:tcPr>
            <w:tcW w:w="194" w:type="dxa"/>
            <w:tcBorders/>
            <w:vAlign w:val="center"/>
          </w:tcPr>
          <w:p>
            <w:pPr>
              <w:pStyle w:val="TableContents"/>
              <w:bidi w:val="0"/>
              <w:spacing w:before="0" w:after="283"/>
              <w:jc w:val="center"/>
              <w:rPr/>
            </w:pPr>
            <w:r>
              <w:rPr/>
              <w:t> </w:t>
            </w:r>
          </w:p>
        </w:tc>
        <w:tc>
          <w:tcPr>
            <w:tcW w:w="1321" w:type="dxa"/>
            <w:gridSpan w:val="2"/>
            <w:tcBorders/>
            <w:vAlign w:val="center"/>
          </w:tcPr>
          <w:p>
            <w:pPr>
              <w:pStyle w:val="TableContents"/>
              <w:bidi w:val="0"/>
              <w:spacing w:before="0" w:after="283"/>
              <w:jc w:val="center"/>
              <w:rPr/>
            </w:pPr>
            <w:r>
              <w:rPr/>
              <w:t> </w:t>
            </w:r>
          </w:p>
        </w:tc>
        <w:tc>
          <w:tcPr>
            <w:tcW w:w="308" w:type="dxa"/>
            <w:tcBorders/>
            <w:vAlign w:val="center"/>
          </w:tcPr>
          <w:p>
            <w:pPr>
              <w:pStyle w:val="TableContents"/>
              <w:bidi w:val="0"/>
              <w:spacing w:before="0" w:after="283"/>
              <w:jc w:val="center"/>
              <w:rPr/>
            </w:pPr>
            <w:r>
              <w:rPr/>
              <w:t> </w:t>
            </w:r>
          </w:p>
        </w:tc>
      </w:tr>
      <w:tr>
        <w:trPr/>
        <w:tc>
          <w:tcPr>
            <w:tcW w:w="2988" w:type="dxa"/>
            <w:tcBorders/>
            <w:vAlign w:val="center"/>
          </w:tcPr>
          <w:p>
            <w:pPr>
              <w:pStyle w:val="TableContents"/>
              <w:bidi w:val="0"/>
              <w:spacing w:before="0" w:after="283"/>
              <w:jc w:val="left"/>
              <w:rPr/>
            </w:pPr>
            <w:r>
              <w:rPr/>
              <w:t>Term loan facility</w:t>
            </w:r>
          </w:p>
        </w:tc>
        <w:tc>
          <w:tcPr>
            <w:tcW w:w="301" w:type="dxa"/>
            <w:tcBorders/>
            <w:vAlign w:val="center"/>
          </w:tcPr>
          <w:p>
            <w:pPr>
              <w:pStyle w:val="TableContents"/>
              <w:bidi w:val="0"/>
              <w:spacing w:before="0" w:after="283"/>
              <w:jc w:val="right"/>
              <w:rPr/>
            </w:pPr>
            <w:r>
              <w:rPr/>
              <w:t>$</w:t>
            </w:r>
          </w:p>
        </w:tc>
        <w:tc>
          <w:tcPr>
            <w:tcW w:w="1180" w:type="dxa"/>
            <w:tcBorders/>
            <w:vAlign w:val="center"/>
          </w:tcPr>
          <w:p>
            <w:pPr>
              <w:pStyle w:val="TableContents"/>
              <w:bidi w:val="0"/>
              <w:spacing w:before="0" w:after="283"/>
              <w:jc w:val="right"/>
              <w:rPr/>
            </w:pPr>
            <w:r>
              <w:rPr/>
              <w:t>450,000</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t>$</w:t>
            </w:r>
          </w:p>
        </w:tc>
        <w:tc>
          <w:tcPr>
            <w:tcW w:w="1180" w:type="dxa"/>
            <w:tcBorders/>
            <w:vAlign w:val="center"/>
          </w:tcPr>
          <w:p>
            <w:pPr>
              <w:pStyle w:val="TableContents"/>
              <w:bidi w:val="0"/>
              <w:spacing w:before="0" w:after="283"/>
              <w:jc w:val="right"/>
              <w:rPr/>
            </w:pPr>
            <w:r>
              <w:rPr/>
              <w:t>475,000</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center"/>
              <w:rPr/>
            </w:pPr>
            <w:r>
              <w:rPr/>
              <w:t> </w:t>
            </w:r>
          </w:p>
        </w:tc>
        <w:tc>
          <w:tcPr>
            <w:tcW w:w="241" w:type="dxa"/>
            <w:tcBorders/>
            <w:vAlign w:val="center"/>
          </w:tcPr>
          <w:p>
            <w:pPr>
              <w:pStyle w:val="TableContents"/>
              <w:bidi w:val="0"/>
              <w:spacing w:before="0" w:after="283"/>
              <w:jc w:val="center"/>
              <w:rPr/>
            </w:pPr>
            <w:r>
              <w:rPr/>
              <w:t> </w:t>
            </w:r>
          </w:p>
        </w:tc>
        <w:tc>
          <w:tcPr>
            <w:tcW w:w="194" w:type="dxa"/>
            <w:tcBorders/>
            <w:vAlign w:val="center"/>
          </w:tcPr>
          <w:p>
            <w:pPr>
              <w:pStyle w:val="TableContents"/>
              <w:bidi w:val="0"/>
              <w:spacing w:before="0" w:after="283"/>
              <w:jc w:val="center"/>
              <w:rPr/>
            </w:pPr>
            <w:r>
              <w:rPr/>
              <w:t> </w:t>
            </w:r>
          </w:p>
        </w:tc>
        <w:tc>
          <w:tcPr>
            <w:tcW w:w="1321" w:type="dxa"/>
            <w:gridSpan w:val="2"/>
            <w:tcBorders/>
            <w:vAlign w:val="center"/>
          </w:tcPr>
          <w:p>
            <w:pPr>
              <w:pStyle w:val="TableContents"/>
              <w:bidi w:val="0"/>
              <w:spacing w:before="0" w:after="283"/>
              <w:jc w:val="center"/>
              <w:rPr/>
            </w:pPr>
            <w:r>
              <w:rPr/>
              <w:t> </w:t>
            </w:r>
          </w:p>
        </w:tc>
        <w:tc>
          <w:tcPr>
            <w:tcW w:w="308" w:type="dxa"/>
            <w:tcBorders/>
            <w:vAlign w:val="center"/>
          </w:tcPr>
          <w:p>
            <w:pPr>
              <w:pStyle w:val="TableContents"/>
              <w:bidi w:val="0"/>
              <w:spacing w:before="0" w:after="283"/>
              <w:jc w:val="center"/>
              <w:rPr/>
            </w:pPr>
            <w:r>
              <w:rPr/>
              <w:t> </w:t>
            </w:r>
          </w:p>
        </w:tc>
      </w:tr>
      <w:tr>
        <w:trPr/>
        <w:tc>
          <w:tcPr>
            <w:tcW w:w="2988" w:type="dxa"/>
            <w:tcBorders/>
            <w:vAlign w:val="center"/>
          </w:tcPr>
          <w:p>
            <w:pPr>
              <w:pStyle w:val="TableContents"/>
              <w:bidi w:val="0"/>
              <w:spacing w:before="0" w:after="283"/>
              <w:jc w:val="left"/>
              <w:rPr/>
            </w:pPr>
            <w:r>
              <w:rPr/>
              <w:t>Revolving credit facility</w:t>
            </w:r>
          </w:p>
        </w:tc>
        <w:tc>
          <w:tcPr>
            <w:tcW w:w="1481" w:type="dxa"/>
            <w:gridSpan w:val="2"/>
            <w:tcBorders/>
            <w:vAlign w:val="center"/>
          </w:tcPr>
          <w:p>
            <w:pPr>
              <w:pStyle w:val="TableContents"/>
              <w:bidi w:val="0"/>
              <w:spacing w:before="0" w:after="283"/>
              <w:jc w:val="right"/>
              <w:rPr/>
            </w:pPr>
            <w:r>
              <w:rPr/>
              <w:t>168,500</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481" w:type="dxa"/>
            <w:gridSpan w:val="2"/>
            <w:tcBorders/>
            <w:vAlign w:val="center"/>
          </w:tcPr>
          <w:p>
            <w:pPr>
              <w:pStyle w:val="TableContents"/>
              <w:bidi w:val="0"/>
              <w:spacing w:before="0" w:after="283"/>
              <w:jc w:val="right"/>
              <w:rPr/>
            </w:pPr>
            <w:r>
              <w:rPr/>
              <w:t>197,500</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1321" w:type="dxa"/>
            <w:gridSpan w:val="2"/>
            <w:tcBorders/>
            <w:vAlign w:val="center"/>
          </w:tcPr>
          <w:p>
            <w:pPr>
              <w:pStyle w:val="TableContents"/>
              <w:bidi w:val="0"/>
              <w:spacing w:before="0" w:after="283"/>
              <w:jc w:val="right"/>
              <w:rPr/>
            </w:pPr>
            <w:r>
              <w:rPr/>
              <w:t> </w:t>
            </w:r>
          </w:p>
        </w:tc>
        <w:tc>
          <w:tcPr>
            <w:tcW w:w="308" w:type="dxa"/>
            <w:tcBorders/>
            <w:vAlign w:val="center"/>
          </w:tcPr>
          <w:p>
            <w:pPr>
              <w:pStyle w:val="TableContents"/>
              <w:bidi w:val="0"/>
              <w:spacing w:before="0" w:after="283"/>
              <w:jc w:val="right"/>
              <w:rPr/>
            </w:pPr>
            <w:r>
              <w:rPr/>
              <w:t> </w:t>
            </w:r>
          </w:p>
        </w:tc>
      </w:tr>
      <w:tr>
        <w:trPr/>
        <w:tc>
          <w:tcPr>
            <w:tcW w:w="2988" w:type="dxa"/>
            <w:tcBorders/>
            <w:vAlign w:val="center"/>
          </w:tcPr>
          <w:p>
            <w:pPr>
              <w:pStyle w:val="TableContents"/>
              <w:bidi w:val="0"/>
              <w:spacing w:before="0" w:after="283"/>
              <w:jc w:val="left"/>
              <w:rPr/>
            </w:pPr>
            <w:r>
              <w:rPr/>
              <w:t>Finance lease obligations (1)</w:t>
            </w:r>
          </w:p>
        </w:tc>
        <w:tc>
          <w:tcPr>
            <w:tcW w:w="1481"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53,697</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1481"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61,194</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1321" w:type="dxa"/>
            <w:gridSpan w:val="2"/>
            <w:tcBorders/>
            <w:vAlign w:val="center"/>
          </w:tcPr>
          <w:p>
            <w:pPr>
              <w:pStyle w:val="TableContents"/>
              <w:bidi w:val="0"/>
              <w:spacing w:before="0" w:after="283"/>
              <w:jc w:val="right"/>
              <w:rPr/>
            </w:pPr>
            <w:r>
              <w:rPr/>
              <w:t> </w:t>
            </w:r>
          </w:p>
        </w:tc>
        <w:tc>
          <w:tcPr>
            <w:tcW w:w="308" w:type="dxa"/>
            <w:tcBorders/>
            <w:vAlign w:val="center"/>
          </w:tcPr>
          <w:p>
            <w:pPr>
              <w:pStyle w:val="TableContents"/>
              <w:bidi w:val="0"/>
              <w:spacing w:before="0" w:after="283"/>
              <w:jc w:val="right"/>
              <w:rPr/>
            </w:pPr>
            <w:r>
              <w:rPr/>
              <w:t> </w:t>
            </w:r>
          </w:p>
        </w:tc>
      </w:tr>
      <w:tr>
        <w:trPr/>
        <w:tc>
          <w:tcPr>
            <w:tcW w:w="2988" w:type="dxa"/>
            <w:tcBorders/>
            <w:vAlign w:val="center"/>
          </w:tcPr>
          <w:p>
            <w:pPr>
              <w:pStyle w:val="TableContents"/>
              <w:bidi w:val="0"/>
              <w:spacing w:before="0" w:after="283"/>
              <w:jc w:val="left"/>
              <w:rPr/>
            </w:pPr>
            <w:r>
              <w:rPr/>
              <w:t>Total debt (2)</w:t>
            </w:r>
          </w:p>
        </w:tc>
        <w:tc>
          <w:tcPr>
            <w:tcW w:w="1481" w:type="dxa"/>
            <w:gridSpan w:val="2"/>
            <w:tcBorders/>
            <w:vAlign w:val="center"/>
          </w:tcPr>
          <w:p>
            <w:pPr>
              <w:pStyle w:val="TableContents"/>
              <w:bidi w:val="0"/>
              <w:spacing w:before="0" w:after="283"/>
              <w:jc w:val="right"/>
              <w:rPr/>
            </w:pPr>
            <w:r>
              <w:rPr/>
              <w:t>672,197</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1481" w:type="dxa"/>
            <w:gridSpan w:val="2"/>
            <w:tcBorders/>
            <w:vAlign w:val="center"/>
          </w:tcPr>
          <w:p>
            <w:pPr>
              <w:pStyle w:val="TableContents"/>
              <w:bidi w:val="0"/>
              <w:spacing w:before="0" w:after="283"/>
              <w:jc w:val="right"/>
              <w:rPr/>
            </w:pPr>
            <w:r>
              <w:rPr/>
              <w:t>733,694</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1321" w:type="dxa"/>
            <w:gridSpan w:val="2"/>
            <w:tcBorders/>
            <w:vAlign w:val="center"/>
          </w:tcPr>
          <w:p>
            <w:pPr>
              <w:pStyle w:val="TableContents"/>
              <w:bidi w:val="0"/>
              <w:spacing w:before="0" w:after="283"/>
              <w:jc w:val="right"/>
              <w:rPr/>
            </w:pPr>
            <w:r>
              <w:rPr/>
              <w:t> </w:t>
            </w:r>
          </w:p>
        </w:tc>
        <w:tc>
          <w:tcPr>
            <w:tcW w:w="308" w:type="dxa"/>
            <w:tcBorders/>
            <w:vAlign w:val="center"/>
          </w:tcPr>
          <w:p>
            <w:pPr>
              <w:pStyle w:val="TableContents"/>
              <w:bidi w:val="0"/>
              <w:spacing w:before="0" w:after="283"/>
              <w:jc w:val="right"/>
              <w:rPr/>
            </w:pPr>
            <w:r>
              <w:rPr/>
              <w:t> </w:t>
            </w:r>
          </w:p>
        </w:tc>
      </w:tr>
      <w:tr>
        <w:trPr/>
        <w:tc>
          <w:tcPr>
            <w:tcW w:w="2988" w:type="dxa"/>
            <w:tcBorders/>
            <w:vAlign w:val="center"/>
          </w:tcPr>
          <w:p>
            <w:pPr>
              <w:pStyle w:val="TableContents"/>
              <w:bidi w:val="0"/>
              <w:spacing w:before="0" w:after="283"/>
              <w:jc w:val="left"/>
              <w:rPr/>
            </w:pPr>
            <w:r>
              <w:rPr/>
              <w:t>Less: Cash and cash equivalents</w:t>
            </w:r>
          </w:p>
        </w:tc>
        <w:tc>
          <w:tcPr>
            <w:tcW w:w="1481"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62,094</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1481" w:type="dxa"/>
            <w:gridSpan w:val="2"/>
            <w:tcBorders>
              <w:bottom w:val="single" w:sz="8" w:space="0" w:color="000000"/>
            </w:tcBorders>
            <w:tcMar>
              <w:top w:w="0" w:type="dxa"/>
              <w:left w:w="0" w:type="dxa"/>
              <w:right w:w="0" w:type="dxa"/>
            </w:tcMar>
            <w:vAlign w:val="center"/>
          </w:tcPr>
          <w:p>
            <w:pPr>
              <w:pStyle w:val="TableContents"/>
              <w:bidi w:val="0"/>
              <w:spacing w:before="0" w:after="283"/>
              <w:jc w:val="right"/>
              <w:rPr/>
            </w:pPr>
            <w:r>
              <w:rPr/>
              <w:t>66,272</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1321" w:type="dxa"/>
            <w:gridSpan w:val="2"/>
            <w:tcBorders/>
            <w:vAlign w:val="center"/>
          </w:tcPr>
          <w:p>
            <w:pPr>
              <w:pStyle w:val="TableContents"/>
              <w:bidi w:val="0"/>
              <w:spacing w:before="0" w:after="283"/>
              <w:jc w:val="right"/>
              <w:rPr/>
            </w:pPr>
            <w:r>
              <w:rPr/>
              <w:t> </w:t>
            </w:r>
          </w:p>
        </w:tc>
        <w:tc>
          <w:tcPr>
            <w:tcW w:w="308" w:type="dxa"/>
            <w:tcBorders/>
            <w:vAlign w:val="center"/>
          </w:tcPr>
          <w:p>
            <w:pPr>
              <w:pStyle w:val="TableContents"/>
              <w:bidi w:val="0"/>
              <w:spacing w:before="0" w:after="283"/>
              <w:jc w:val="right"/>
              <w:rPr/>
            </w:pPr>
            <w:r>
              <w:rPr/>
              <w:t> </w:t>
            </w:r>
          </w:p>
        </w:tc>
      </w:tr>
      <w:tr>
        <w:trPr/>
        <w:tc>
          <w:tcPr>
            <w:tcW w:w="2988" w:type="dxa"/>
            <w:tcBorders/>
            <w:vAlign w:val="center"/>
          </w:tcPr>
          <w:p>
            <w:pPr>
              <w:pStyle w:val="TableContents"/>
              <w:bidi w:val="0"/>
              <w:spacing w:before="0" w:after="283"/>
              <w:jc w:val="left"/>
              <w:rPr/>
            </w:pPr>
            <w:r>
              <w:rPr>
                <w:rStyle w:val="StrongEmphasis"/>
              </w:rPr>
              <w:t>Net Debt</w:t>
            </w:r>
          </w:p>
        </w:tc>
        <w:tc>
          <w:tcPr>
            <w:tcW w:w="301" w:type="dxa"/>
            <w:tcBorders/>
            <w:vAlign w:val="center"/>
          </w:tcPr>
          <w:p>
            <w:pPr>
              <w:pStyle w:val="TableContents"/>
              <w:bidi w:val="0"/>
              <w:spacing w:before="0" w:after="283"/>
              <w:jc w:val="right"/>
              <w:rPr/>
            </w:pPr>
            <w:r>
              <w:rPr>
                <w:rStyle w:val="StrongEmphasis"/>
              </w:rPr>
              <w:t>$</w:t>
            </w:r>
          </w:p>
        </w:tc>
        <w:tc>
          <w:tcPr>
            <w:tcW w:w="1180" w:type="dxa"/>
            <w:tcBorders/>
            <w:vAlign w:val="center"/>
          </w:tcPr>
          <w:p>
            <w:pPr>
              <w:pStyle w:val="TableContents"/>
              <w:bidi w:val="0"/>
              <w:spacing w:before="0" w:after="283"/>
              <w:jc w:val="right"/>
              <w:rPr/>
            </w:pPr>
            <w:r>
              <w:rPr>
                <w:rStyle w:val="StrongEmphasis"/>
              </w:rPr>
              <w:t>610,103</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301" w:type="dxa"/>
            <w:tcBorders/>
            <w:vAlign w:val="center"/>
          </w:tcPr>
          <w:p>
            <w:pPr>
              <w:pStyle w:val="TableContents"/>
              <w:bidi w:val="0"/>
              <w:spacing w:before="0" w:after="283"/>
              <w:jc w:val="right"/>
              <w:rPr/>
            </w:pPr>
            <w:r>
              <w:rPr>
                <w:rStyle w:val="StrongEmphasis"/>
              </w:rPr>
              <w:t>$</w:t>
            </w:r>
          </w:p>
        </w:tc>
        <w:tc>
          <w:tcPr>
            <w:tcW w:w="1180" w:type="dxa"/>
            <w:tcBorders/>
            <w:vAlign w:val="center"/>
          </w:tcPr>
          <w:p>
            <w:pPr>
              <w:pStyle w:val="TableContents"/>
              <w:bidi w:val="0"/>
              <w:spacing w:before="0" w:after="283"/>
              <w:jc w:val="right"/>
              <w:rPr/>
            </w:pPr>
            <w:r>
              <w:rPr>
                <w:rStyle w:val="StrongEmphasis"/>
              </w:rPr>
              <w:t>667,422</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right"/>
              <w:rPr/>
            </w:pPr>
            <w:r>
              <w:rPr/>
              <w:t> </w:t>
            </w:r>
          </w:p>
        </w:tc>
        <w:tc>
          <w:tcPr>
            <w:tcW w:w="1321" w:type="dxa"/>
            <w:gridSpan w:val="2"/>
            <w:tcBorders/>
            <w:vAlign w:val="center"/>
          </w:tcPr>
          <w:p>
            <w:pPr>
              <w:pStyle w:val="TableContents"/>
              <w:bidi w:val="0"/>
              <w:spacing w:before="0" w:after="283"/>
              <w:jc w:val="right"/>
              <w:rPr/>
            </w:pPr>
            <w:r>
              <w:rPr/>
              <w:t> </w:t>
            </w:r>
          </w:p>
        </w:tc>
        <w:tc>
          <w:tcPr>
            <w:tcW w:w="308" w:type="dxa"/>
            <w:tcBorders/>
            <w:vAlign w:val="center"/>
          </w:tcPr>
          <w:p>
            <w:pPr>
              <w:pStyle w:val="TableContents"/>
              <w:bidi w:val="0"/>
              <w:spacing w:before="0" w:after="283"/>
              <w:jc w:val="right"/>
              <w:rPr/>
            </w:pPr>
            <w:r>
              <w:rPr/>
              <w:t> </w:t>
            </w:r>
          </w:p>
        </w:tc>
      </w:tr>
      <w:tr>
        <w:trPr/>
        <w:tc>
          <w:tcPr>
            <w:tcW w:w="2988" w:type="dxa"/>
            <w:tcBorders/>
            <w:vAlign w:val="center"/>
          </w:tcPr>
          <w:p>
            <w:pPr>
              <w:pStyle w:val="TableContents"/>
              <w:bidi w:val="0"/>
              <w:spacing w:before="0" w:after="283"/>
              <w:jc w:val="left"/>
              <w:rPr/>
            </w:pPr>
            <w:r>
              <w:rPr/>
              <w:t> </w:t>
            </w:r>
          </w:p>
        </w:tc>
        <w:tc>
          <w:tcPr>
            <w:tcW w:w="148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481" w:type="dxa"/>
            <w:gridSpan w:val="2"/>
            <w:tcBorders/>
            <w:vAlign w:val="center"/>
          </w:tcPr>
          <w:p>
            <w:pPr>
              <w:pStyle w:val="TableContents"/>
              <w:bidi w:val="0"/>
              <w:spacing w:before="0" w:after="283"/>
              <w:jc w:val="right"/>
              <w:rPr/>
            </w:pPr>
            <w:r>
              <w:rPr/>
              <w:t> </w:t>
            </w:r>
          </w:p>
        </w:tc>
        <w:tc>
          <w:tcPr>
            <w:tcW w:w="241"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r>
      <w:tr>
        <w:trPr/>
        <w:tc>
          <w:tcPr>
            <w:tcW w:w="10205" w:type="dxa"/>
            <w:gridSpan w:val="16"/>
            <w:tcBorders/>
            <w:vAlign w:val="center"/>
          </w:tcPr>
          <w:p>
            <w:pPr>
              <w:pStyle w:val="TableContents"/>
              <w:bidi w:val="0"/>
              <w:spacing w:before="0" w:after="283"/>
              <w:jc w:val="left"/>
              <w:rPr/>
            </w:pPr>
            <w:r>
              <w:rPr/>
              <w:t>(1) Includes $47.9 million and $58.9 million in real estate lease liabilities considered finance leases under U.S. GAAP as of July 31, 2026 and 2025, respectively.</w:t>
            </w:r>
          </w:p>
        </w:tc>
      </w:tr>
      <w:tr>
        <w:trPr/>
        <w:tc>
          <w:tcPr>
            <w:tcW w:w="10205" w:type="dxa"/>
            <w:gridSpan w:val="16"/>
            <w:tcBorders/>
            <w:vAlign w:val="center"/>
          </w:tcPr>
          <w:p>
            <w:pPr>
              <w:pStyle w:val="TableContents"/>
              <w:bidi w:val="0"/>
              <w:spacing w:before="0" w:after="283"/>
              <w:jc w:val="left"/>
              <w:rPr/>
            </w:pPr>
            <w:r>
              <w:rPr/>
              <w:t>(2) Excludes outstanding letters of credit.</w:t>
            </w:r>
          </w:p>
        </w:tc>
      </w:tr>
      <w:tr>
        <w:trPr/>
        <w:tc>
          <w:tcPr>
            <w:tcW w:w="2988" w:type="dxa"/>
            <w:tcBorders/>
            <w:vAlign w:val="center"/>
          </w:tcPr>
          <w:p>
            <w:pPr>
              <w:pStyle w:val="TableContents"/>
              <w:bidi w:val="0"/>
              <w:spacing w:before="0" w:after="283"/>
              <w:jc w:val="left"/>
              <w:rPr/>
            </w:pPr>
            <w:r>
              <w:rPr/>
              <w:t> </w:t>
            </w:r>
          </w:p>
        </w:tc>
        <w:tc>
          <w:tcPr>
            <w:tcW w:w="148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48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321" w:type="dxa"/>
            <w:gridSpan w:val="2"/>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r>
    </w:tbl>
    <w:p>
      <w:pPr>
        <w:pStyle w:val="TextBody"/>
        <w:bidi w:val="0"/>
        <w:jc w:val="left"/>
        <w:rPr/>
      </w:pPr>
      <w:r>
        <w:rPr/>
      </w:r>
    </w:p>
    <w:tbl>
      <w:tblPr>
        <w:tblW w:w="10205" w:type="dxa"/>
        <w:jc w:val="left"/>
        <w:tblInd w:w="0" w:type="dxa"/>
        <w:tblLayout w:type="fixed"/>
        <w:tblCellMar>
          <w:top w:w="28" w:type="dxa"/>
          <w:left w:w="28" w:type="dxa"/>
          <w:bottom w:w="28" w:type="dxa"/>
          <w:right w:w="28" w:type="dxa"/>
        </w:tblCellMar>
      </w:tblPr>
      <w:tblGrid>
        <w:gridCol w:w="1604"/>
        <w:gridCol w:w="146"/>
        <w:gridCol w:w="634"/>
        <w:gridCol w:w="783"/>
        <w:gridCol w:w="149"/>
        <w:gridCol w:w="146"/>
        <w:gridCol w:w="600"/>
        <w:gridCol w:w="783"/>
        <w:gridCol w:w="185"/>
        <w:gridCol w:w="146"/>
        <w:gridCol w:w="600"/>
        <w:gridCol w:w="785"/>
        <w:gridCol w:w="185"/>
        <w:gridCol w:w="146"/>
        <w:gridCol w:w="600"/>
        <w:gridCol w:w="785"/>
        <w:gridCol w:w="185"/>
        <w:gridCol w:w="146"/>
        <w:gridCol w:w="268"/>
        <w:gridCol w:w="1053"/>
        <w:gridCol w:w="276"/>
      </w:tblGrid>
      <w:tr>
        <w:trPr/>
        <w:tc>
          <w:tcPr>
            <w:tcW w:w="10205" w:type="dxa"/>
            <w:gridSpan w:val="21"/>
            <w:tcBorders/>
            <w:vAlign w:val="center"/>
          </w:tcPr>
          <w:p>
            <w:pPr>
              <w:pStyle w:val="TableContents"/>
              <w:bidi w:val="0"/>
              <w:spacing w:before="0" w:after="283"/>
              <w:jc w:val="left"/>
              <w:rPr/>
            </w:pPr>
            <w:r>
              <w:rPr/>
              <w:t> </w:t>
            </w:r>
          </w:p>
        </w:tc>
      </w:tr>
      <w:tr>
        <w:trPr/>
        <w:tc>
          <w:tcPr>
            <w:tcW w:w="10205" w:type="dxa"/>
            <w:gridSpan w:val="21"/>
            <w:tcBorders/>
            <w:vAlign w:val="center"/>
          </w:tcPr>
          <w:p>
            <w:pPr>
              <w:pStyle w:val="TableContents"/>
              <w:bidi w:val="0"/>
              <w:spacing w:before="0" w:after="283"/>
              <w:jc w:val="center"/>
              <w:rPr/>
            </w:pPr>
            <w:r>
              <w:rPr>
                <w:rStyle w:val="StrongEmphasis"/>
              </w:rPr>
              <w:t>QUANEX BUILDING PRODUCTS CORPORATION</w:t>
            </w:r>
            <w:r>
              <w:rPr/>
              <w:br/>
            </w:r>
            <w:r>
              <w:rPr>
                <w:rStyle w:val="StrongEmphasis"/>
              </w:rPr>
              <w:t>NON-GAAP FINANCIAL MEASURE DISCLOSURE</w:t>
            </w:r>
            <w:r>
              <w:rPr/>
              <w:br/>
            </w:r>
            <w:r>
              <w:rPr>
                <w:rStyle w:val="StrongEmphasis"/>
              </w:rPr>
              <w:t>LAST TWELVE MONTHS ADJUSTED EBITDA RECONCILIATION</w:t>
            </w:r>
            <w:r>
              <w:rPr/>
              <w:br/>
              <w:t>(In thousands, except per share data)</w:t>
              <w:br/>
              <w:t>(Unaudited)</w:t>
            </w:r>
          </w:p>
        </w:tc>
      </w:tr>
      <w:tr>
        <w:trPr/>
        <w:tc>
          <w:tcPr>
            <w:tcW w:w="1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7" w:type="dxa"/>
            <w:gridSpan w:val="2"/>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7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7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597" w:type="dxa"/>
            <w:gridSpan w:val="3"/>
            <w:tcBorders/>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pPr>
            <w:r>
              <w:rPr>
                <w:rStyle w:val="StrongEmphasis"/>
              </w:rPr>
              <w:t>Reconciliation of Last Twelve Months Adjusted EBITDA</w:t>
            </w:r>
          </w:p>
        </w:tc>
        <w:tc>
          <w:tcPr>
            <w:tcW w:w="146" w:type="dxa"/>
            <w:tcBorders/>
            <w:vAlign w:val="center"/>
          </w:tcPr>
          <w:p>
            <w:pPr>
              <w:pStyle w:val="TableContents"/>
              <w:bidi w:val="0"/>
              <w:spacing w:before="0" w:after="283"/>
              <w:jc w:val="right"/>
              <w:rPr/>
            </w:pPr>
            <w:r>
              <w:rPr/>
              <w:t> </w:t>
            </w:r>
          </w:p>
        </w:tc>
        <w:tc>
          <w:tcPr>
            <w:tcW w:w="1566"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Three Months Ended July 31, 2026</w:t>
            </w:r>
          </w:p>
        </w:tc>
        <w:tc>
          <w:tcPr>
            <w:tcW w:w="146" w:type="dxa"/>
            <w:tcBorders/>
            <w:vAlign w:val="center"/>
          </w:tcPr>
          <w:p>
            <w:pPr>
              <w:pStyle w:val="TableContents"/>
              <w:bidi w:val="0"/>
              <w:spacing w:before="0" w:after="283"/>
              <w:jc w:val="left"/>
              <w:rPr/>
            </w:pPr>
            <w:r>
              <w:rPr/>
              <w:t> </w:t>
            </w:r>
          </w:p>
        </w:tc>
        <w:tc>
          <w:tcPr>
            <w:tcW w:w="1568"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Three Months Ended April 30, 2026</w:t>
            </w:r>
          </w:p>
        </w:tc>
        <w:tc>
          <w:tcPr>
            <w:tcW w:w="146" w:type="dxa"/>
            <w:tcBorders/>
            <w:vAlign w:val="center"/>
          </w:tcPr>
          <w:p>
            <w:pPr>
              <w:pStyle w:val="TableContents"/>
              <w:bidi w:val="0"/>
              <w:spacing w:before="0" w:after="283"/>
              <w:jc w:val="left"/>
              <w:rPr/>
            </w:pPr>
            <w:r>
              <w:rPr/>
              <w:t> </w:t>
            </w:r>
          </w:p>
        </w:tc>
        <w:tc>
          <w:tcPr>
            <w:tcW w:w="157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Three Months Ended January 31, 2026</w:t>
            </w:r>
          </w:p>
        </w:tc>
        <w:tc>
          <w:tcPr>
            <w:tcW w:w="146" w:type="dxa"/>
            <w:tcBorders/>
            <w:vAlign w:val="center"/>
          </w:tcPr>
          <w:p>
            <w:pPr>
              <w:pStyle w:val="TableContents"/>
              <w:bidi w:val="0"/>
              <w:spacing w:before="0" w:after="283"/>
              <w:jc w:val="right"/>
              <w:rPr/>
            </w:pPr>
            <w:r>
              <w:rPr/>
              <w:t> </w:t>
            </w:r>
          </w:p>
        </w:tc>
        <w:tc>
          <w:tcPr>
            <w:tcW w:w="157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Three Months Ended October 31, 2025</w:t>
            </w:r>
          </w:p>
        </w:tc>
        <w:tc>
          <w:tcPr>
            <w:tcW w:w="146" w:type="dxa"/>
            <w:tcBorders/>
            <w:vAlign w:val="center"/>
          </w:tcPr>
          <w:p>
            <w:pPr>
              <w:pStyle w:val="TableContents"/>
              <w:bidi w:val="0"/>
              <w:spacing w:before="0" w:after="283"/>
              <w:jc w:val="center"/>
              <w:rPr/>
            </w:pPr>
            <w:r>
              <w:rPr/>
              <w:t> </w:t>
            </w:r>
          </w:p>
        </w:tc>
        <w:tc>
          <w:tcPr>
            <w:tcW w:w="159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Total</w:t>
            </w:r>
          </w:p>
        </w:tc>
      </w:tr>
      <w:tr>
        <w:trPr/>
        <w:tc>
          <w:tcPr>
            <w:tcW w:w="160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6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Reconciliation</w:t>
            </w:r>
          </w:p>
        </w:tc>
        <w:tc>
          <w:tcPr>
            <w:tcW w:w="146" w:type="dxa"/>
            <w:tcBorders/>
            <w:vAlign w:val="center"/>
          </w:tcPr>
          <w:p>
            <w:pPr>
              <w:pStyle w:val="TableContents"/>
              <w:bidi w:val="0"/>
              <w:spacing w:before="0" w:after="283"/>
              <w:jc w:val="left"/>
              <w:rPr/>
            </w:pPr>
            <w:r>
              <w:rPr/>
              <w:t> </w:t>
            </w:r>
          </w:p>
        </w:tc>
        <w:tc>
          <w:tcPr>
            <w:tcW w:w="15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Reconciliation</w:t>
            </w:r>
          </w:p>
        </w:tc>
        <w:tc>
          <w:tcPr>
            <w:tcW w:w="146" w:type="dxa"/>
            <w:tcBorders/>
            <w:vAlign w:val="center"/>
          </w:tcPr>
          <w:p>
            <w:pPr>
              <w:pStyle w:val="TableContents"/>
              <w:bidi w:val="0"/>
              <w:spacing w:before="0" w:after="283"/>
              <w:jc w:val="left"/>
              <w:rPr/>
            </w:pPr>
            <w:r>
              <w:rPr/>
              <w:t> </w:t>
            </w:r>
          </w:p>
        </w:tc>
        <w:tc>
          <w:tcPr>
            <w:tcW w:w="157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Reconciliation</w:t>
            </w:r>
          </w:p>
        </w:tc>
        <w:tc>
          <w:tcPr>
            <w:tcW w:w="146" w:type="dxa"/>
            <w:tcBorders/>
            <w:vAlign w:val="center"/>
          </w:tcPr>
          <w:p>
            <w:pPr>
              <w:pStyle w:val="TableContents"/>
              <w:bidi w:val="0"/>
              <w:spacing w:before="0" w:after="283"/>
              <w:jc w:val="right"/>
              <w:rPr/>
            </w:pPr>
            <w:r>
              <w:rPr/>
              <w:t> </w:t>
            </w:r>
          </w:p>
        </w:tc>
        <w:tc>
          <w:tcPr>
            <w:tcW w:w="157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Reconciliation</w:t>
            </w:r>
          </w:p>
        </w:tc>
        <w:tc>
          <w:tcPr>
            <w:tcW w:w="146" w:type="dxa"/>
            <w:tcBorders/>
            <w:vAlign w:val="center"/>
          </w:tcPr>
          <w:p>
            <w:pPr>
              <w:pStyle w:val="TableContents"/>
              <w:bidi w:val="0"/>
              <w:spacing w:before="0" w:after="283"/>
              <w:jc w:val="right"/>
              <w:rPr/>
            </w:pPr>
            <w:r>
              <w:rPr/>
              <w:t> </w:t>
            </w:r>
          </w:p>
        </w:tc>
        <w:tc>
          <w:tcPr>
            <w:tcW w:w="1597"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Reconciliation</w:t>
            </w:r>
          </w:p>
        </w:tc>
      </w:tr>
      <w:tr>
        <w:trPr/>
        <w:tc>
          <w:tcPr>
            <w:tcW w:w="1604" w:type="dxa"/>
            <w:tcBorders/>
            <w:vAlign w:val="center"/>
          </w:tcPr>
          <w:p>
            <w:pPr>
              <w:pStyle w:val="TableContents"/>
              <w:bidi w:val="0"/>
              <w:spacing w:before="0" w:after="283"/>
              <w:jc w:val="left"/>
              <w:rPr/>
            </w:pPr>
            <w:r>
              <w:rPr/>
              <w:t>Net income (loss) as reported</w:t>
            </w:r>
          </w:p>
        </w:tc>
        <w:tc>
          <w:tcPr>
            <w:tcW w:w="146"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right"/>
              <w:rPr/>
            </w:pPr>
            <w:r>
              <w:rPr/>
              <w:t>$</w:t>
            </w:r>
          </w:p>
        </w:tc>
        <w:tc>
          <w:tcPr>
            <w:tcW w:w="783" w:type="dxa"/>
            <w:tcBorders/>
            <w:vAlign w:val="center"/>
          </w:tcPr>
          <w:p>
            <w:pPr>
              <w:pStyle w:val="TableContents"/>
              <w:bidi w:val="0"/>
              <w:spacing w:before="0" w:after="283"/>
              <w:jc w:val="right"/>
              <w:rPr/>
            </w:pPr>
            <w:r>
              <w:rPr/>
              <w:t>26,504</w:t>
            </w:r>
          </w:p>
        </w:tc>
        <w:tc>
          <w:tcPr>
            <w:tcW w:w="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w:t>
            </w:r>
          </w:p>
        </w:tc>
        <w:tc>
          <w:tcPr>
            <w:tcW w:w="783" w:type="dxa"/>
            <w:tcBorders/>
            <w:vAlign w:val="center"/>
          </w:tcPr>
          <w:p>
            <w:pPr>
              <w:pStyle w:val="TableContents"/>
              <w:bidi w:val="0"/>
              <w:spacing w:before="0" w:after="283"/>
              <w:jc w:val="right"/>
              <w:rPr/>
            </w:pPr>
            <w:r>
              <w:rPr/>
              <w:t>3,350</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w:t>
            </w:r>
          </w:p>
        </w:tc>
        <w:tc>
          <w:tcPr>
            <w:tcW w:w="785" w:type="dxa"/>
            <w:tcBorders/>
            <w:vAlign w:val="center"/>
          </w:tcPr>
          <w:p>
            <w:pPr>
              <w:pStyle w:val="TableContents"/>
              <w:bidi w:val="0"/>
              <w:spacing w:before="0" w:after="283"/>
              <w:jc w:val="right"/>
              <w:rPr/>
            </w:pPr>
            <w:r>
              <w:rPr/>
              <w:t>(4,071</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w:t>
            </w:r>
          </w:p>
        </w:tc>
        <w:tc>
          <w:tcPr>
            <w:tcW w:w="785" w:type="dxa"/>
            <w:tcBorders/>
            <w:vAlign w:val="center"/>
          </w:tcPr>
          <w:p>
            <w:pPr>
              <w:pStyle w:val="TableContents"/>
              <w:bidi w:val="0"/>
              <w:spacing w:before="0" w:after="283"/>
              <w:jc w:val="right"/>
              <w:rPr/>
            </w:pPr>
            <w:r>
              <w:rPr/>
              <w:t>19,571</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right"/>
              <w:rPr/>
            </w:pPr>
            <w:r>
              <w:rPr/>
              <w:t>$</w:t>
            </w:r>
          </w:p>
        </w:tc>
        <w:tc>
          <w:tcPr>
            <w:tcW w:w="1053" w:type="dxa"/>
            <w:tcBorders/>
            <w:vAlign w:val="center"/>
          </w:tcPr>
          <w:p>
            <w:pPr>
              <w:pStyle w:val="TableContents"/>
              <w:bidi w:val="0"/>
              <w:spacing w:before="0" w:after="283"/>
              <w:jc w:val="right"/>
              <w:rPr/>
            </w:pPr>
            <w:r>
              <w:rPr/>
              <w:t>45,354</w:t>
            </w:r>
          </w:p>
        </w:tc>
        <w:tc>
          <w:tcPr>
            <w:tcW w:w="276" w:type="dxa"/>
            <w:tcBorders/>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pPr>
            <w:r>
              <w:rPr/>
              <w:t>Income tax expense (benefit)</w:t>
            </w:r>
          </w:p>
        </w:tc>
        <w:tc>
          <w:tcPr>
            <w:tcW w:w="146"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7,915</w:t>
            </w:r>
          </w:p>
        </w:tc>
        <w:tc>
          <w:tcPr>
            <w:tcW w:w="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3,766</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173</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15,147</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8" w:type="dxa"/>
            <w:tcBorders/>
            <w:vAlign w:val="center"/>
          </w:tcPr>
          <w:p>
            <w:pPr>
              <w:pStyle w:val="TableContents"/>
              <w:bidi w:val="0"/>
              <w:spacing w:before="0" w:after="283"/>
              <w:jc w:val="right"/>
              <w:rPr/>
            </w:pPr>
            <w:r>
              <w:rPr/>
              <w:t> </w:t>
            </w:r>
          </w:p>
        </w:tc>
        <w:tc>
          <w:tcPr>
            <w:tcW w:w="1053" w:type="dxa"/>
            <w:tcBorders/>
            <w:vAlign w:val="center"/>
          </w:tcPr>
          <w:p>
            <w:pPr>
              <w:pStyle w:val="TableContents"/>
              <w:bidi w:val="0"/>
              <w:spacing w:before="0" w:after="283"/>
              <w:jc w:val="right"/>
              <w:rPr/>
            </w:pPr>
            <w:r>
              <w:rPr/>
              <w:t>27,001</w:t>
            </w:r>
          </w:p>
        </w:tc>
        <w:tc>
          <w:tcPr>
            <w:tcW w:w="276" w:type="dxa"/>
            <w:tcBorders/>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pPr>
            <w:r>
              <w:rPr/>
              <w:t>Other, net</w:t>
            </w:r>
          </w:p>
        </w:tc>
        <w:tc>
          <w:tcPr>
            <w:tcW w:w="146"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93</w:t>
            </w:r>
          </w:p>
        </w:tc>
        <w:tc>
          <w:tcPr>
            <w:tcW w:w="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(448</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(5,617</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(5,246</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8" w:type="dxa"/>
            <w:tcBorders/>
            <w:vAlign w:val="center"/>
          </w:tcPr>
          <w:p>
            <w:pPr>
              <w:pStyle w:val="TableContents"/>
              <w:bidi w:val="0"/>
              <w:spacing w:before="0" w:after="283"/>
              <w:jc w:val="right"/>
              <w:rPr/>
            </w:pPr>
            <w:r>
              <w:rPr/>
              <w:t> </w:t>
            </w:r>
          </w:p>
        </w:tc>
        <w:tc>
          <w:tcPr>
            <w:tcW w:w="1053" w:type="dxa"/>
            <w:tcBorders/>
            <w:vAlign w:val="center"/>
          </w:tcPr>
          <w:p>
            <w:pPr>
              <w:pStyle w:val="TableContents"/>
              <w:bidi w:val="0"/>
              <w:spacing w:before="0" w:after="283"/>
              <w:jc w:val="right"/>
              <w:rPr/>
            </w:pPr>
            <w:r>
              <w:rPr/>
              <w:t>(11,218</w:t>
            </w:r>
          </w:p>
        </w:tc>
        <w:tc>
          <w:tcPr>
            <w:tcW w:w="276" w:type="dxa"/>
            <w:tcBorders/>
            <w:vAlign w:val="center"/>
          </w:tcPr>
          <w:p>
            <w:pPr>
              <w:pStyle w:val="TableContents"/>
              <w:bidi w:val="0"/>
              <w:spacing w:before="0" w:after="283"/>
              <w:jc w:val="left"/>
              <w:rPr/>
            </w:pPr>
            <w:r>
              <w:rPr/>
              <w:t>)</w:t>
            </w:r>
          </w:p>
        </w:tc>
      </w:tr>
      <w:tr>
        <w:trPr/>
        <w:tc>
          <w:tcPr>
            <w:tcW w:w="1604" w:type="dxa"/>
            <w:tcBorders/>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11,978</w:t>
            </w:r>
          </w:p>
        </w:tc>
        <w:tc>
          <w:tcPr>
            <w:tcW w:w="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12,042</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12,367</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13,468</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8" w:type="dxa"/>
            <w:tcBorders/>
            <w:vAlign w:val="center"/>
          </w:tcPr>
          <w:p>
            <w:pPr>
              <w:pStyle w:val="TableContents"/>
              <w:bidi w:val="0"/>
              <w:spacing w:before="0" w:after="283"/>
              <w:jc w:val="right"/>
              <w:rPr/>
            </w:pPr>
            <w:r>
              <w:rPr/>
              <w:t> </w:t>
            </w:r>
          </w:p>
        </w:tc>
        <w:tc>
          <w:tcPr>
            <w:tcW w:w="1053" w:type="dxa"/>
            <w:tcBorders/>
            <w:vAlign w:val="center"/>
          </w:tcPr>
          <w:p>
            <w:pPr>
              <w:pStyle w:val="TableContents"/>
              <w:bidi w:val="0"/>
              <w:spacing w:before="0" w:after="283"/>
              <w:jc w:val="right"/>
              <w:rPr/>
            </w:pPr>
            <w:r>
              <w:rPr/>
              <w:t>49,855</w:t>
            </w:r>
          </w:p>
        </w:tc>
        <w:tc>
          <w:tcPr>
            <w:tcW w:w="276" w:type="dxa"/>
            <w:tcBorders/>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24,138</w:t>
            </w:r>
          </w:p>
        </w:tc>
        <w:tc>
          <w:tcPr>
            <w:tcW w:w="14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24,650</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24,249</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25,630</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8" w:type="dxa"/>
            <w:tcBorders/>
            <w:vAlign w:val="center"/>
          </w:tcPr>
          <w:p>
            <w:pPr>
              <w:pStyle w:val="TableContents"/>
              <w:bidi w:val="0"/>
              <w:spacing w:before="0" w:after="283"/>
              <w:jc w:val="right"/>
              <w:rPr/>
            </w:pPr>
            <w:r>
              <w:rPr/>
              <w:t> </w:t>
            </w:r>
          </w:p>
        </w:tc>
        <w:tc>
          <w:tcPr>
            <w:tcW w:w="1053" w:type="dxa"/>
            <w:tcBorders/>
            <w:vAlign w:val="center"/>
          </w:tcPr>
          <w:p>
            <w:pPr>
              <w:pStyle w:val="TableContents"/>
              <w:bidi w:val="0"/>
              <w:spacing w:before="0" w:after="283"/>
              <w:jc w:val="right"/>
              <w:rPr/>
            </w:pPr>
            <w:r>
              <w:rPr/>
              <w:t>98,667</w:t>
            </w:r>
          </w:p>
        </w:tc>
        <w:tc>
          <w:tcPr>
            <w:tcW w:w="276" w:type="dxa"/>
            <w:tcBorders/>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pPr>
            <w:r>
              <w:rPr/>
              <w:t>EBITDA</w:t>
            </w:r>
          </w:p>
        </w:tc>
        <w:tc>
          <w:tcPr>
            <w:tcW w:w="146" w:type="dxa"/>
            <w:tcBorders/>
            <w:vAlign w:val="center"/>
          </w:tcPr>
          <w:p>
            <w:pPr>
              <w:pStyle w:val="TableContents"/>
              <w:bidi w:val="0"/>
              <w:spacing w:before="0" w:after="283"/>
              <w:jc w:val="left"/>
              <w:rPr/>
            </w:pPr>
            <w:r>
              <w:rPr/>
              <w:t> </w:t>
            </w:r>
          </w:p>
        </w:tc>
        <w:tc>
          <w:tcPr>
            <w:tcW w:w="63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78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70,628</w:t>
            </w:r>
          </w:p>
        </w:tc>
        <w:tc>
          <w:tcPr>
            <w:tcW w:w="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78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43,360</w:t>
            </w:r>
          </w:p>
        </w:tc>
        <w:tc>
          <w:tcPr>
            <w:tcW w:w="18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78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27,101</w:t>
            </w:r>
          </w:p>
        </w:tc>
        <w:tc>
          <w:tcPr>
            <w:tcW w:w="18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78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68,570</w:t>
            </w:r>
          </w:p>
        </w:tc>
        <w:tc>
          <w:tcPr>
            <w:tcW w:w="18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5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209,659</w:t>
            </w:r>
          </w:p>
        </w:tc>
        <w:tc>
          <w:tcPr>
            <w:tcW w:w="27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pPr>
            <w:r>
              <w:rPr/>
              <w:t>Cost of sales (1)</w:t>
            </w:r>
          </w:p>
        </w:tc>
        <w:tc>
          <w:tcPr>
            <w:tcW w:w="146"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1,223</w:t>
            </w:r>
          </w:p>
        </w:tc>
        <w:tc>
          <w:tcPr>
            <w:tcW w:w="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121</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407</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308</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8" w:type="dxa"/>
            <w:tcBorders/>
            <w:vAlign w:val="center"/>
          </w:tcPr>
          <w:p>
            <w:pPr>
              <w:pStyle w:val="TableContents"/>
              <w:bidi w:val="0"/>
              <w:spacing w:before="0" w:after="283"/>
              <w:jc w:val="right"/>
              <w:rPr/>
            </w:pPr>
            <w:r>
              <w:rPr/>
              <w:t> </w:t>
            </w:r>
          </w:p>
        </w:tc>
        <w:tc>
          <w:tcPr>
            <w:tcW w:w="1053" w:type="dxa"/>
            <w:tcBorders/>
            <w:vAlign w:val="center"/>
          </w:tcPr>
          <w:p>
            <w:pPr>
              <w:pStyle w:val="TableContents"/>
              <w:bidi w:val="0"/>
              <w:spacing w:before="0" w:after="283"/>
              <w:jc w:val="right"/>
              <w:rPr/>
            </w:pPr>
            <w:r>
              <w:rPr/>
              <w:t>2,059</w:t>
            </w:r>
          </w:p>
        </w:tc>
        <w:tc>
          <w:tcPr>
            <w:tcW w:w="276" w:type="dxa"/>
            <w:tcBorders/>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pPr>
            <w:r>
              <w:rPr/>
              <w:t>Selling, general and administrative (1),(2)</w:t>
            </w:r>
          </w:p>
        </w:tc>
        <w:tc>
          <w:tcPr>
            <w:tcW w:w="146"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894</w:t>
            </w:r>
          </w:p>
        </w:tc>
        <w:tc>
          <w:tcPr>
            <w:tcW w:w="14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right"/>
              <w:rPr/>
            </w:pPr>
            <w:r>
              <w:rPr/>
              <w:t> </w:t>
            </w:r>
          </w:p>
        </w:tc>
        <w:tc>
          <w:tcPr>
            <w:tcW w:w="783" w:type="dxa"/>
            <w:tcBorders/>
            <w:vAlign w:val="center"/>
          </w:tcPr>
          <w:p>
            <w:pPr>
              <w:pStyle w:val="TableContents"/>
              <w:bidi w:val="0"/>
              <w:spacing w:before="0" w:after="283"/>
              <w:jc w:val="right"/>
              <w:rPr/>
            </w:pPr>
            <w:r>
              <w:rPr/>
              <w:t>688</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(126</w:t>
            </w:r>
          </w:p>
        </w:tc>
        <w:tc>
          <w:tcPr>
            <w:tcW w:w="18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600" w:type="dxa"/>
            <w:tcBorders/>
            <w:vAlign w:val="center"/>
          </w:tcPr>
          <w:p>
            <w:pPr>
              <w:pStyle w:val="TableContents"/>
              <w:bidi w:val="0"/>
              <w:spacing w:before="0" w:after="283"/>
              <w:jc w:val="right"/>
              <w:rPr/>
            </w:pPr>
            <w:r>
              <w:rPr/>
              <w:t> </w:t>
            </w:r>
          </w:p>
        </w:tc>
        <w:tc>
          <w:tcPr>
            <w:tcW w:w="785" w:type="dxa"/>
            <w:tcBorders/>
            <w:vAlign w:val="center"/>
          </w:tcPr>
          <w:p>
            <w:pPr>
              <w:pStyle w:val="TableContents"/>
              <w:bidi w:val="0"/>
              <w:spacing w:before="0" w:after="283"/>
              <w:jc w:val="right"/>
              <w:rPr/>
            </w:pPr>
            <w:r>
              <w:rPr/>
              <w:t>2,040</w:t>
            </w:r>
          </w:p>
        </w:tc>
        <w:tc>
          <w:tcPr>
            <w:tcW w:w="1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8" w:type="dxa"/>
            <w:tcBorders/>
            <w:vAlign w:val="center"/>
          </w:tcPr>
          <w:p>
            <w:pPr>
              <w:pStyle w:val="TableContents"/>
              <w:bidi w:val="0"/>
              <w:spacing w:before="0" w:after="283"/>
              <w:jc w:val="right"/>
              <w:rPr/>
            </w:pPr>
            <w:r>
              <w:rPr/>
              <w:t> </w:t>
            </w:r>
          </w:p>
        </w:tc>
        <w:tc>
          <w:tcPr>
            <w:tcW w:w="1053" w:type="dxa"/>
            <w:tcBorders/>
            <w:vAlign w:val="center"/>
          </w:tcPr>
          <w:p>
            <w:pPr>
              <w:pStyle w:val="TableContents"/>
              <w:bidi w:val="0"/>
              <w:spacing w:before="0" w:after="283"/>
              <w:jc w:val="right"/>
              <w:rPr/>
            </w:pPr>
            <w:r>
              <w:rPr/>
              <w:t>3,496</w:t>
            </w:r>
          </w:p>
        </w:tc>
        <w:tc>
          <w:tcPr>
            <w:tcW w:w="276" w:type="dxa"/>
            <w:tcBorders/>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pPr>
            <w:r>
              <w:rPr/>
              <w:t>Adjusted EBITDA</w:t>
            </w:r>
          </w:p>
        </w:tc>
        <w:tc>
          <w:tcPr>
            <w:tcW w:w="146" w:type="dxa"/>
            <w:tcBorders/>
            <w:vAlign w:val="center"/>
          </w:tcPr>
          <w:p>
            <w:pPr>
              <w:pStyle w:val="TableContents"/>
              <w:bidi w:val="0"/>
              <w:spacing w:before="0" w:after="283"/>
              <w:jc w:val="left"/>
              <w:rPr/>
            </w:pPr>
            <w:r>
              <w:rPr/>
              <w:t> </w:t>
            </w:r>
          </w:p>
        </w:tc>
        <w:tc>
          <w:tcPr>
            <w:tcW w:w="63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72,745</w:t>
            </w:r>
          </w:p>
        </w:tc>
        <w:tc>
          <w:tcPr>
            <w:tcW w:w="14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8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44,169</w:t>
            </w:r>
          </w:p>
        </w:tc>
        <w:tc>
          <w:tcPr>
            <w:tcW w:w="1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27,382</w:t>
            </w:r>
          </w:p>
        </w:tc>
        <w:tc>
          <w:tcPr>
            <w:tcW w:w="1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0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70,918</w:t>
            </w:r>
          </w:p>
        </w:tc>
        <w:tc>
          <w:tcPr>
            <w:tcW w:w="1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215,214</w:t>
            </w:r>
          </w:p>
        </w:tc>
        <w:tc>
          <w:tcPr>
            <w:tcW w:w="2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1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7" w:type="dxa"/>
            <w:gridSpan w:val="2"/>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7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570"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597" w:type="dxa"/>
            <w:gridSpan w:val="3"/>
            <w:tcBorders/>
            <w:vAlign w:val="center"/>
          </w:tcPr>
          <w:p>
            <w:pPr>
              <w:pStyle w:val="TableContents"/>
              <w:bidi w:val="0"/>
              <w:spacing w:before="0" w:after="283"/>
              <w:jc w:val="left"/>
              <w:rPr/>
            </w:pPr>
            <w:r>
              <w:rPr/>
              <w:t> </w:t>
            </w:r>
          </w:p>
        </w:tc>
      </w:tr>
      <w:tr>
        <w:trPr/>
        <w:tc>
          <w:tcPr>
            <w:tcW w:w="10205" w:type="dxa"/>
            <w:gridSpan w:val="21"/>
            <w:tcBorders/>
            <w:vAlign w:val="center"/>
          </w:tcPr>
          <w:p>
            <w:pPr>
              <w:pStyle w:val="TableContents"/>
              <w:bidi w:val="0"/>
              <w:spacing w:before="0" w:after="283"/>
              <w:jc w:val="left"/>
              <w:rPr/>
            </w:pPr>
            <w:r>
              <w:rPr/>
              <w:t>(1) Severance and other expenses related to manufacturing footprint and performance optimization.</w:t>
            </w:r>
          </w:p>
        </w:tc>
      </w:tr>
      <w:tr>
        <w:trPr/>
        <w:tc>
          <w:tcPr>
            <w:tcW w:w="10205" w:type="dxa"/>
            <w:gridSpan w:val="21"/>
            <w:tcBorders/>
            <w:vAlign w:val="center"/>
          </w:tcPr>
          <w:p>
            <w:pPr>
              <w:pStyle w:val="TableContents"/>
              <w:bidi w:val="0"/>
              <w:spacing w:before="0" w:after="283"/>
              <w:jc w:val="left"/>
              <w:rPr/>
            </w:pPr>
            <w:r>
              <w:rPr/>
              <w:t>(2) Transaction, advisory fees, severance and reorganization costs.</w:t>
            </w:r>
          </w:p>
        </w:tc>
      </w:tr>
      <w:tr>
        <w:trPr/>
        <w:tc>
          <w:tcPr>
            <w:tcW w:w="160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17" w:type="dxa"/>
            <w:gridSpan w:val="2"/>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5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7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70"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7" w:type="dxa"/>
            <w:gridSpan w:val="3"/>
            <w:tcBorders/>
            <w:vAlign w:val="center"/>
          </w:tcPr>
          <w:p>
            <w:pPr>
              <w:pStyle w:val="TableContents"/>
              <w:bidi w:val="0"/>
              <w:spacing w:before="0" w:after="283"/>
              <w:jc w:val="right"/>
              <w:rPr/>
            </w:pPr>
            <w:r>
              <w:rPr/>
              <w:t> </w:t>
            </w:r>
          </w:p>
        </w:tc>
      </w:tr>
    </w:tbl>
    <w:p>
      <w:pPr>
        <w:pStyle w:val="TextBody"/>
        <w:bidi w:val="0"/>
        <w:jc w:val="left"/>
        <w:rPr/>
      </w:pPr>
      <w:r>
        <w:rPr/>
      </w:r>
    </w:p>
    <w:tbl>
      <w:tblPr>
        <w:tblW w:w="15402" w:type="dxa"/>
        <w:jc w:val="left"/>
        <w:tblInd w:w="0" w:type="dxa"/>
        <w:tblLayout w:type="fixed"/>
        <w:tblCellMar>
          <w:top w:w="28" w:type="dxa"/>
          <w:left w:w="28" w:type="dxa"/>
          <w:bottom w:w="28" w:type="dxa"/>
          <w:right w:w="28" w:type="dxa"/>
        </w:tblCellMar>
      </w:tblPr>
      <w:tblGrid>
        <w:gridCol w:w="1561"/>
        <w:gridCol w:w="146"/>
        <w:gridCol w:w="319"/>
        <w:gridCol w:w="1046"/>
        <w:gridCol w:w="181"/>
        <w:gridCol w:w="146"/>
        <w:gridCol w:w="319"/>
        <w:gridCol w:w="791"/>
        <w:gridCol w:w="181"/>
        <w:gridCol w:w="376"/>
        <w:gridCol w:w="289"/>
        <w:gridCol w:w="1076"/>
        <w:gridCol w:w="181"/>
        <w:gridCol w:w="146"/>
        <w:gridCol w:w="226"/>
        <w:gridCol w:w="961"/>
        <w:gridCol w:w="181"/>
        <w:gridCol w:w="376"/>
        <w:gridCol w:w="280"/>
        <w:gridCol w:w="1085"/>
        <w:gridCol w:w="181"/>
        <w:gridCol w:w="146"/>
        <w:gridCol w:w="269"/>
        <w:gridCol w:w="841"/>
        <w:gridCol w:w="181"/>
        <w:gridCol w:w="376"/>
        <w:gridCol w:w="269"/>
        <w:gridCol w:w="1096"/>
        <w:gridCol w:w="181"/>
        <w:gridCol w:w="146"/>
        <w:gridCol w:w="226"/>
        <w:gridCol w:w="961"/>
        <w:gridCol w:w="181"/>
        <w:gridCol w:w="481"/>
      </w:tblGrid>
      <w:tr>
        <w:trPr/>
        <w:tc>
          <w:tcPr>
            <w:tcW w:w="15402" w:type="dxa"/>
            <w:gridSpan w:val="34"/>
            <w:tcBorders/>
            <w:vAlign w:val="center"/>
          </w:tcPr>
          <w:p>
            <w:pPr>
              <w:pStyle w:val="TableContents"/>
              <w:bidi w:val="0"/>
              <w:spacing w:before="0" w:after="283"/>
              <w:jc w:val="left"/>
              <w:rPr/>
            </w:pPr>
            <w:r>
              <w:rPr/>
              <w:t> </w:t>
            </w:r>
          </w:p>
        </w:tc>
      </w:tr>
      <w:tr>
        <w:trPr/>
        <w:tc>
          <w:tcPr>
            <w:tcW w:w="15402" w:type="dxa"/>
            <w:gridSpan w:val="34"/>
            <w:tcBorders/>
            <w:vAlign w:val="center"/>
          </w:tcPr>
          <w:p>
            <w:pPr>
              <w:pStyle w:val="TableContents"/>
              <w:bidi w:val="0"/>
              <w:spacing w:before="0" w:after="283"/>
              <w:jc w:val="center"/>
              <w:rPr/>
            </w:pPr>
            <w:r>
              <w:rPr>
                <w:rStyle w:val="StrongEmphasis"/>
              </w:rPr>
              <w:t>QUANEX BUILDING PRODUCTS CORPORATION</w:t>
            </w:r>
            <w:r>
              <w:rPr/>
              <w:br/>
            </w:r>
            <w:r>
              <w:rPr>
                <w:rStyle w:val="StrongEmphasis"/>
              </w:rPr>
              <w:t>NON-GAAP FINANCIAL MEASURE DISCLOSURE</w:t>
            </w:r>
            <w:r>
              <w:rPr/>
              <w:br/>
              <w:t>(In thousands, except per share data)</w:t>
              <w:br/>
              <w:t>(Unaudited)</w:t>
            </w:r>
          </w:p>
        </w:tc>
      </w:tr>
      <w:tr>
        <w:trPr/>
        <w:tc>
          <w:tcPr>
            <w:tcW w:w="15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154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rStyle w:val="StrongEmphasis"/>
              </w:rPr>
              <w:t>Reconciliation of Adjusted Net Income and Adjusted EPS</w:t>
            </w:r>
          </w:p>
        </w:tc>
        <w:tc>
          <w:tcPr>
            <w:tcW w:w="146" w:type="dxa"/>
            <w:tcBorders/>
            <w:vAlign w:val="center"/>
          </w:tcPr>
          <w:p>
            <w:pPr>
              <w:pStyle w:val="TableContents"/>
              <w:bidi w:val="0"/>
              <w:spacing w:before="0" w:after="283"/>
              <w:jc w:val="left"/>
              <w:rPr/>
            </w:pPr>
            <w:r>
              <w:rPr/>
              <w:t> </w:t>
            </w:r>
          </w:p>
        </w:tc>
        <w:tc>
          <w:tcPr>
            <w:tcW w:w="2983"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Three Months Ended July 31, 2026</w:t>
            </w:r>
          </w:p>
        </w:tc>
        <w:tc>
          <w:tcPr>
            <w:tcW w:w="376" w:type="dxa"/>
            <w:tcBorders/>
            <w:vAlign w:val="center"/>
          </w:tcPr>
          <w:p>
            <w:pPr>
              <w:pStyle w:val="TableContents"/>
              <w:bidi w:val="0"/>
              <w:spacing w:before="0" w:after="283"/>
              <w:jc w:val="left"/>
              <w:rPr/>
            </w:pPr>
            <w:r>
              <w:rPr/>
              <w:t> </w:t>
            </w:r>
          </w:p>
        </w:tc>
        <w:tc>
          <w:tcPr>
            <w:tcW w:w="3060"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Three Months Ended July 31, 2025</w:t>
            </w:r>
          </w:p>
        </w:tc>
        <w:tc>
          <w:tcPr>
            <w:tcW w:w="376" w:type="dxa"/>
            <w:tcBorders/>
            <w:vAlign w:val="center"/>
          </w:tcPr>
          <w:p>
            <w:pPr>
              <w:pStyle w:val="TableContents"/>
              <w:bidi w:val="0"/>
              <w:spacing w:before="0" w:after="283"/>
              <w:jc w:val="center"/>
              <w:rPr/>
            </w:pPr>
            <w:r>
              <w:rPr/>
              <w:t> </w:t>
            </w:r>
          </w:p>
        </w:tc>
        <w:tc>
          <w:tcPr>
            <w:tcW w:w="2983"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Nine Months Ended July 31, 2026</w:t>
            </w:r>
          </w:p>
        </w:tc>
        <w:tc>
          <w:tcPr>
            <w:tcW w:w="376" w:type="dxa"/>
            <w:tcBorders/>
            <w:vAlign w:val="center"/>
          </w:tcPr>
          <w:p>
            <w:pPr>
              <w:pStyle w:val="TableContents"/>
              <w:bidi w:val="0"/>
              <w:spacing w:before="0" w:after="283"/>
              <w:jc w:val="left"/>
              <w:rPr/>
            </w:pPr>
            <w:r>
              <w:rPr/>
              <w:t> </w:t>
            </w:r>
          </w:p>
        </w:tc>
        <w:tc>
          <w:tcPr>
            <w:tcW w:w="3060"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Nine Months Ended July 31, 2025</w:t>
            </w:r>
          </w:p>
        </w:tc>
        <w:tc>
          <w:tcPr>
            <w:tcW w:w="481" w:type="dxa"/>
            <w:tcBorders/>
            <w:vAlign w:val="center"/>
          </w:tcPr>
          <w:p>
            <w:pPr>
              <w:pStyle w:val="TableContents"/>
              <w:bidi w:val="0"/>
              <w:spacing w:before="0" w:after="283"/>
              <w:jc w:val="center"/>
              <w:rPr/>
            </w:pPr>
            <w:r>
              <w:rPr/>
              <w:t> </w:t>
            </w:r>
          </w:p>
        </w:tc>
      </w:tr>
      <w:tr>
        <w:trPr/>
        <w:tc>
          <w:tcPr>
            <w:tcW w:w="156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Net Income</w:t>
            </w:r>
          </w:p>
        </w:tc>
        <w:tc>
          <w:tcPr>
            <w:tcW w:w="146" w:type="dxa"/>
            <w:tcBorders/>
            <w:vAlign w:val="center"/>
          </w:tcPr>
          <w:p>
            <w:pPr>
              <w:pStyle w:val="TableContents"/>
              <w:bidi w:val="0"/>
              <w:spacing w:before="0" w:after="283"/>
              <w:jc w:val="center"/>
              <w:rPr/>
            </w:pPr>
            <w:r>
              <w:rPr/>
              <w:t> </w:t>
            </w:r>
          </w:p>
        </w:tc>
        <w:tc>
          <w:tcPr>
            <w:tcW w:w="129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Diluted EPS</w:t>
            </w:r>
          </w:p>
        </w:tc>
        <w:tc>
          <w:tcPr>
            <w:tcW w:w="376" w:type="dxa"/>
            <w:tcBorders/>
            <w:vAlign w:val="center"/>
          </w:tcPr>
          <w:p>
            <w:pPr>
              <w:pStyle w:val="TableContents"/>
              <w:bidi w:val="0"/>
              <w:spacing w:before="0" w:after="283"/>
              <w:jc w:val="left"/>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Net Income</w:t>
            </w:r>
          </w:p>
        </w:tc>
        <w:tc>
          <w:tcPr>
            <w:tcW w:w="146" w:type="dxa"/>
            <w:tcBorders/>
            <w:vAlign w:val="center"/>
          </w:tcPr>
          <w:p>
            <w:pPr>
              <w:pStyle w:val="TableContents"/>
              <w:bidi w:val="0"/>
              <w:spacing w:before="0" w:after="283"/>
              <w:jc w:val="center"/>
              <w:rPr/>
            </w:pPr>
            <w:r>
              <w:rPr/>
              <w:t> </w:t>
            </w:r>
          </w:p>
        </w:tc>
        <w:tc>
          <w:tcPr>
            <w:tcW w:w="13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Diluted EPS</w:t>
            </w:r>
          </w:p>
        </w:tc>
        <w:tc>
          <w:tcPr>
            <w:tcW w:w="376" w:type="dxa"/>
            <w:tcBorders/>
            <w:vAlign w:val="center"/>
          </w:tcPr>
          <w:p>
            <w:pPr>
              <w:pStyle w:val="TableContents"/>
              <w:bidi w:val="0"/>
              <w:spacing w:before="0" w:after="283"/>
              <w:jc w:val="center"/>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Net Income</w:t>
            </w:r>
          </w:p>
        </w:tc>
        <w:tc>
          <w:tcPr>
            <w:tcW w:w="146" w:type="dxa"/>
            <w:tcBorders/>
            <w:vAlign w:val="center"/>
          </w:tcPr>
          <w:p>
            <w:pPr>
              <w:pStyle w:val="TableContents"/>
              <w:bidi w:val="0"/>
              <w:spacing w:before="0" w:after="283"/>
              <w:jc w:val="center"/>
              <w:rPr/>
            </w:pPr>
            <w:r>
              <w:rPr/>
              <w:t> </w:t>
            </w:r>
          </w:p>
        </w:tc>
        <w:tc>
          <w:tcPr>
            <w:tcW w:w="129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Diluted EPS</w:t>
            </w:r>
          </w:p>
        </w:tc>
        <w:tc>
          <w:tcPr>
            <w:tcW w:w="376" w:type="dxa"/>
            <w:tcBorders/>
            <w:vAlign w:val="center"/>
          </w:tcPr>
          <w:p>
            <w:pPr>
              <w:pStyle w:val="TableContents"/>
              <w:bidi w:val="0"/>
              <w:spacing w:before="0" w:after="283"/>
              <w:jc w:val="left"/>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Net Income</w:t>
            </w:r>
          </w:p>
        </w:tc>
        <w:tc>
          <w:tcPr>
            <w:tcW w:w="146" w:type="dxa"/>
            <w:tcBorders/>
            <w:vAlign w:val="center"/>
          </w:tcPr>
          <w:p>
            <w:pPr>
              <w:pStyle w:val="TableContents"/>
              <w:bidi w:val="0"/>
              <w:spacing w:before="0" w:after="283"/>
              <w:jc w:val="center"/>
              <w:rPr/>
            </w:pPr>
            <w:r>
              <w:rPr/>
              <w:t> </w:t>
            </w:r>
          </w:p>
        </w:tc>
        <w:tc>
          <w:tcPr>
            <w:tcW w:w="13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Diluted EPS</w:t>
            </w:r>
          </w:p>
        </w:tc>
        <w:tc>
          <w:tcPr>
            <w:tcW w:w="481" w:type="dxa"/>
            <w:tcBorders/>
            <w:vAlign w:val="center"/>
          </w:tcPr>
          <w:p>
            <w:pPr>
              <w:pStyle w:val="TableContents"/>
              <w:bidi w:val="0"/>
              <w:spacing w:before="0" w:after="283"/>
              <w:jc w:val="center"/>
              <w:rPr/>
            </w:pPr>
            <w:r>
              <w:rPr/>
              <w:t> </w:t>
            </w:r>
          </w:p>
        </w:tc>
      </w:tr>
      <w:tr>
        <w:trPr/>
        <w:tc>
          <w:tcPr>
            <w:tcW w:w="1561" w:type="dxa"/>
            <w:tcBorders/>
            <w:vAlign w:val="center"/>
          </w:tcPr>
          <w:p>
            <w:pPr>
              <w:pStyle w:val="TableContents"/>
              <w:bidi w:val="0"/>
              <w:spacing w:before="0" w:after="283"/>
              <w:jc w:val="left"/>
              <w:rPr/>
            </w:pPr>
            <w:r>
              <w:rPr/>
              <w:t>Net income (loss) as reported</w:t>
            </w:r>
          </w:p>
        </w:tc>
        <w:tc>
          <w:tcPr>
            <w:tcW w:w="146"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right"/>
              <w:rPr/>
            </w:pPr>
            <w:r>
              <w:rPr/>
              <w:t>$</w:t>
            </w:r>
          </w:p>
        </w:tc>
        <w:tc>
          <w:tcPr>
            <w:tcW w:w="1046" w:type="dxa"/>
            <w:tcBorders/>
            <w:vAlign w:val="center"/>
          </w:tcPr>
          <w:p>
            <w:pPr>
              <w:pStyle w:val="TableContents"/>
              <w:bidi w:val="0"/>
              <w:spacing w:before="0" w:after="283"/>
              <w:jc w:val="right"/>
              <w:rPr/>
            </w:pPr>
            <w:r>
              <w:rPr/>
              <w:t>26,504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w:t>
            </w:r>
          </w:p>
        </w:tc>
        <w:tc>
          <w:tcPr>
            <w:tcW w:w="791" w:type="dxa"/>
            <w:tcBorders/>
            <w:vAlign w:val="center"/>
          </w:tcPr>
          <w:p>
            <w:pPr>
              <w:pStyle w:val="TableContents"/>
              <w:bidi w:val="0"/>
              <w:spacing w:before="0" w:after="283"/>
              <w:jc w:val="right"/>
              <w:rPr/>
            </w:pPr>
            <w:r>
              <w:rPr/>
              <w:t>0.58</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w:t>
            </w:r>
          </w:p>
        </w:tc>
        <w:tc>
          <w:tcPr>
            <w:tcW w:w="1076" w:type="dxa"/>
            <w:tcBorders/>
            <w:vAlign w:val="center"/>
          </w:tcPr>
          <w:p>
            <w:pPr>
              <w:pStyle w:val="TableContents"/>
              <w:bidi w:val="0"/>
              <w:spacing w:before="0" w:after="283"/>
              <w:jc w:val="right"/>
              <w:rPr/>
            </w:pPr>
            <w:r>
              <w:rPr/>
              <w:t>(276,007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(6.04</w:t>
            </w:r>
          </w:p>
        </w:tc>
        <w:tc>
          <w:tcPr>
            <w:tcW w:w="181"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center"/>
              <w:rPr/>
            </w:pPr>
            <w:r>
              <w:rPr/>
              <w:t> </w:t>
            </w:r>
          </w:p>
        </w:tc>
        <w:tc>
          <w:tcPr>
            <w:tcW w:w="280" w:type="dxa"/>
            <w:tcBorders/>
            <w:vAlign w:val="center"/>
          </w:tcPr>
          <w:p>
            <w:pPr>
              <w:pStyle w:val="TableContents"/>
              <w:bidi w:val="0"/>
              <w:spacing w:before="0" w:after="283"/>
              <w:jc w:val="right"/>
              <w:rPr/>
            </w:pPr>
            <w:r>
              <w:rPr/>
              <w:t>$</w:t>
            </w:r>
          </w:p>
        </w:tc>
        <w:tc>
          <w:tcPr>
            <w:tcW w:w="1085" w:type="dxa"/>
            <w:tcBorders/>
            <w:vAlign w:val="center"/>
          </w:tcPr>
          <w:p>
            <w:pPr>
              <w:pStyle w:val="TableContents"/>
              <w:bidi w:val="0"/>
              <w:spacing w:before="0" w:after="283"/>
              <w:jc w:val="right"/>
              <w:rPr/>
            </w:pPr>
            <w:r>
              <w:rPr/>
              <w:t>25,783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0.57</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w:t>
            </w:r>
          </w:p>
        </w:tc>
        <w:tc>
          <w:tcPr>
            <w:tcW w:w="1096" w:type="dxa"/>
            <w:tcBorders/>
            <w:vAlign w:val="center"/>
          </w:tcPr>
          <w:p>
            <w:pPr>
              <w:pStyle w:val="TableContents"/>
              <w:bidi w:val="0"/>
              <w:spacing w:before="0" w:after="283"/>
              <w:jc w:val="right"/>
              <w:rPr/>
            </w:pPr>
            <w:r>
              <w:rPr/>
              <w:t>(270,377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(5.83</w:t>
            </w:r>
          </w:p>
        </w:tc>
        <w:tc>
          <w:tcPr>
            <w:tcW w:w="181"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center"/>
              <w:rPr/>
            </w:pPr>
            <w:r>
              <w:rPr/>
              <w:t> </w:t>
            </w:r>
          </w:p>
        </w:tc>
      </w:tr>
      <w:tr>
        <w:trPr/>
        <w:tc>
          <w:tcPr>
            <w:tcW w:w="1561" w:type="dxa"/>
            <w:tcBorders/>
            <w:vAlign w:val="center"/>
          </w:tcPr>
          <w:p>
            <w:pPr>
              <w:pStyle w:val="TableContents"/>
              <w:bidi w:val="0"/>
              <w:spacing w:before="0" w:after="283"/>
              <w:jc w:val="left"/>
              <w:rPr/>
            </w:pPr>
            <w:r>
              <w:rPr/>
              <w:t>Net income(loss) reconciling items from below</w:t>
            </w:r>
          </w:p>
        </w:tc>
        <w:tc>
          <w:tcPr>
            <w:tcW w:w="146"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9,507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w:t>
            </w:r>
          </w:p>
        </w:tc>
        <w:tc>
          <w:tcPr>
            <w:tcW w:w="791" w:type="dxa"/>
            <w:tcBorders/>
            <w:vAlign w:val="center"/>
          </w:tcPr>
          <w:p>
            <w:pPr>
              <w:pStyle w:val="TableContents"/>
              <w:bidi w:val="0"/>
              <w:spacing w:before="0" w:after="283"/>
              <w:jc w:val="right"/>
              <w:rPr/>
            </w:pPr>
            <w:r>
              <w:rPr/>
              <w:t>0.21</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307,578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6.73</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center"/>
              <w:rPr/>
            </w:pPr>
            <w:r>
              <w:rPr/>
              <w:t> </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21,221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0.46</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338,756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7.30</w:t>
            </w:r>
          </w:p>
        </w:tc>
        <w:tc>
          <w:tcPr>
            <w:tcW w:w="18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pPr>
            <w:r>
              <w:rPr/>
              <w:t> </w:t>
            </w:r>
          </w:p>
        </w:tc>
      </w:tr>
      <w:tr>
        <w:trPr/>
        <w:tc>
          <w:tcPr>
            <w:tcW w:w="1561" w:type="dxa"/>
            <w:tcBorders/>
            <w:vAlign w:val="center"/>
          </w:tcPr>
          <w:p>
            <w:pPr>
              <w:pStyle w:val="TableContents"/>
              <w:bidi w:val="0"/>
              <w:spacing w:before="0" w:after="283"/>
              <w:jc w:val="left"/>
              <w:rPr/>
            </w:pPr>
            <w:r>
              <w:rPr/>
              <w:t>Adjusted net income and adjusted EPS</w:t>
            </w:r>
          </w:p>
        </w:tc>
        <w:tc>
          <w:tcPr>
            <w:tcW w:w="146" w:type="dxa"/>
            <w:tcBorders/>
            <w:vAlign w:val="center"/>
          </w:tcPr>
          <w:p>
            <w:pPr>
              <w:pStyle w:val="TableContents"/>
              <w:bidi w:val="0"/>
              <w:spacing w:before="0" w:after="283"/>
              <w:jc w:val="left"/>
              <w:rPr/>
            </w:pPr>
            <w:r>
              <w:rPr/>
              <w:t> </w:t>
            </w:r>
          </w:p>
        </w:tc>
        <w:tc>
          <w:tcPr>
            <w:tcW w:w="31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36,011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0.79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31,571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0.69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center"/>
              <w:rPr/>
            </w:pPr>
            <w:r>
              <w:rPr/>
              <w:t> </w:t>
            </w:r>
          </w:p>
        </w:tc>
        <w:tc>
          <w:tcPr>
            <w:tcW w:w="28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47,004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1.03</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9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68,379</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1.47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pPr>
            <w:r>
              <w:rPr/>
              <w:t> </w:t>
            </w:r>
          </w:p>
        </w:tc>
      </w:tr>
      <w:tr>
        <w:trPr/>
        <w:tc>
          <w:tcPr>
            <w:tcW w:w="15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rStyle w:val="StrongEmphasis"/>
              </w:rPr>
              <w:t>Reconciliation of Adjusted EBITDA</w:t>
            </w:r>
          </w:p>
        </w:tc>
        <w:tc>
          <w:tcPr>
            <w:tcW w:w="146" w:type="dxa"/>
            <w:tcBorders/>
            <w:vAlign w:val="center"/>
          </w:tcPr>
          <w:p>
            <w:pPr>
              <w:pStyle w:val="TableContents"/>
              <w:bidi w:val="0"/>
              <w:spacing w:before="0" w:after="283"/>
              <w:jc w:val="left"/>
              <w:rPr/>
            </w:pPr>
            <w:r>
              <w:rPr/>
              <w:t> </w:t>
            </w:r>
          </w:p>
        </w:tc>
        <w:tc>
          <w:tcPr>
            <w:tcW w:w="2983"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Three Months Ended July 31, 2026</w:t>
            </w:r>
          </w:p>
        </w:tc>
        <w:tc>
          <w:tcPr>
            <w:tcW w:w="376" w:type="dxa"/>
            <w:tcBorders/>
            <w:vAlign w:val="center"/>
          </w:tcPr>
          <w:p>
            <w:pPr>
              <w:pStyle w:val="TableContents"/>
              <w:bidi w:val="0"/>
              <w:spacing w:before="0" w:after="283"/>
              <w:jc w:val="left"/>
              <w:rPr/>
            </w:pPr>
            <w:r>
              <w:rPr/>
              <w:t> </w:t>
            </w:r>
          </w:p>
        </w:tc>
        <w:tc>
          <w:tcPr>
            <w:tcW w:w="3060"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Three Months Ended July 31, 2025</w:t>
            </w:r>
          </w:p>
        </w:tc>
        <w:tc>
          <w:tcPr>
            <w:tcW w:w="376" w:type="dxa"/>
            <w:tcBorders/>
            <w:vAlign w:val="center"/>
          </w:tcPr>
          <w:p>
            <w:pPr>
              <w:pStyle w:val="TableContents"/>
              <w:bidi w:val="0"/>
              <w:spacing w:before="0" w:after="283"/>
              <w:jc w:val="center"/>
              <w:rPr/>
            </w:pPr>
            <w:r>
              <w:rPr/>
              <w:t> </w:t>
            </w:r>
          </w:p>
        </w:tc>
        <w:tc>
          <w:tcPr>
            <w:tcW w:w="2983"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Nine Months Ended July 31, 2026</w:t>
            </w:r>
          </w:p>
        </w:tc>
        <w:tc>
          <w:tcPr>
            <w:tcW w:w="376" w:type="dxa"/>
            <w:tcBorders/>
            <w:vAlign w:val="center"/>
          </w:tcPr>
          <w:p>
            <w:pPr>
              <w:pStyle w:val="TableContents"/>
              <w:bidi w:val="0"/>
              <w:spacing w:before="0" w:after="283"/>
              <w:jc w:val="left"/>
              <w:rPr/>
            </w:pPr>
            <w:r>
              <w:rPr/>
              <w:t> </w:t>
            </w:r>
          </w:p>
        </w:tc>
        <w:tc>
          <w:tcPr>
            <w:tcW w:w="3060"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Nine Months Ended July 31, 2025</w:t>
            </w:r>
          </w:p>
        </w:tc>
        <w:tc>
          <w:tcPr>
            <w:tcW w:w="481" w:type="dxa"/>
            <w:tcBorders/>
            <w:vAlign w:val="center"/>
          </w:tcPr>
          <w:p>
            <w:pPr>
              <w:pStyle w:val="TableContents"/>
              <w:bidi w:val="0"/>
              <w:spacing w:before="0" w:after="283"/>
              <w:jc w:val="center"/>
              <w:rPr/>
            </w:pPr>
            <w:r>
              <w:rPr/>
              <w:t> </w:t>
            </w:r>
          </w:p>
        </w:tc>
      </w:tr>
      <w:tr>
        <w:trPr/>
        <w:tc>
          <w:tcPr>
            <w:tcW w:w="156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Reconciliation</w:t>
            </w:r>
          </w:p>
        </w:tc>
        <w:tc>
          <w:tcPr>
            <w:tcW w:w="146" w:type="dxa"/>
            <w:tcBorders/>
            <w:vAlign w:val="center"/>
          </w:tcPr>
          <w:p>
            <w:pPr>
              <w:pStyle w:val="TableContents"/>
              <w:bidi w:val="0"/>
              <w:spacing w:before="0" w:after="283"/>
              <w:jc w:val="center"/>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Reconciliation</w:t>
            </w:r>
          </w:p>
        </w:tc>
        <w:tc>
          <w:tcPr>
            <w:tcW w:w="146" w:type="dxa"/>
            <w:tcBorders/>
            <w:vAlign w:val="center"/>
          </w:tcPr>
          <w:p>
            <w:pPr>
              <w:pStyle w:val="TableContents"/>
              <w:bidi w:val="0"/>
              <w:spacing w:before="0" w:after="283"/>
              <w:jc w:val="center"/>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Reconciliation</w:t>
            </w:r>
          </w:p>
        </w:tc>
        <w:tc>
          <w:tcPr>
            <w:tcW w:w="146" w:type="dxa"/>
            <w:tcBorders/>
            <w:vAlign w:val="center"/>
          </w:tcPr>
          <w:p>
            <w:pPr>
              <w:pStyle w:val="TableContents"/>
              <w:bidi w:val="0"/>
              <w:spacing w:before="0" w:after="283"/>
              <w:jc w:val="center"/>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Reconciliation</w:t>
            </w:r>
          </w:p>
        </w:tc>
        <w:tc>
          <w:tcPr>
            <w:tcW w:w="146" w:type="dxa"/>
            <w:tcBorders/>
            <w:vAlign w:val="center"/>
          </w:tcPr>
          <w:p>
            <w:pPr>
              <w:pStyle w:val="TableContents"/>
              <w:bidi w:val="0"/>
              <w:spacing w:before="0" w:after="283"/>
              <w:jc w:val="center"/>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Net income (loss) as reported</w:t>
            </w:r>
          </w:p>
        </w:tc>
        <w:tc>
          <w:tcPr>
            <w:tcW w:w="146"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right"/>
              <w:rPr/>
            </w:pPr>
            <w:r>
              <w:rPr/>
              <w:t>$</w:t>
            </w:r>
          </w:p>
        </w:tc>
        <w:tc>
          <w:tcPr>
            <w:tcW w:w="1046" w:type="dxa"/>
            <w:tcBorders/>
            <w:vAlign w:val="center"/>
          </w:tcPr>
          <w:p>
            <w:pPr>
              <w:pStyle w:val="TableContents"/>
              <w:bidi w:val="0"/>
              <w:spacing w:before="0" w:after="283"/>
              <w:jc w:val="right"/>
              <w:rPr/>
            </w:pPr>
            <w:r>
              <w:rPr/>
              <w:t>26,504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w:t>
            </w:r>
          </w:p>
        </w:tc>
        <w:tc>
          <w:tcPr>
            <w:tcW w:w="1076" w:type="dxa"/>
            <w:tcBorders/>
            <w:vAlign w:val="center"/>
          </w:tcPr>
          <w:p>
            <w:pPr>
              <w:pStyle w:val="TableContents"/>
              <w:bidi w:val="0"/>
              <w:spacing w:before="0" w:after="283"/>
              <w:jc w:val="right"/>
              <w:rPr/>
            </w:pPr>
            <w:r>
              <w:rPr/>
              <w:t>(276,007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280" w:type="dxa"/>
            <w:tcBorders/>
            <w:vAlign w:val="center"/>
          </w:tcPr>
          <w:p>
            <w:pPr>
              <w:pStyle w:val="TableContents"/>
              <w:bidi w:val="0"/>
              <w:spacing w:before="0" w:after="283"/>
              <w:jc w:val="right"/>
              <w:rPr/>
            </w:pPr>
            <w:r>
              <w:rPr/>
              <w:t>$</w:t>
            </w:r>
          </w:p>
        </w:tc>
        <w:tc>
          <w:tcPr>
            <w:tcW w:w="1085" w:type="dxa"/>
            <w:tcBorders/>
            <w:vAlign w:val="center"/>
          </w:tcPr>
          <w:p>
            <w:pPr>
              <w:pStyle w:val="TableContents"/>
              <w:bidi w:val="0"/>
              <w:spacing w:before="0" w:after="283"/>
              <w:jc w:val="right"/>
              <w:rPr/>
            </w:pPr>
            <w:r>
              <w:rPr/>
              <w:t>25,783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w:t>
            </w:r>
          </w:p>
        </w:tc>
        <w:tc>
          <w:tcPr>
            <w:tcW w:w="1096" w:type="dxa"/>
            <w:tcBorders/>
            <w:vAlign w:val="center"/>
          </w:tcPr>
          <w:p>
            <w:pPr>
              <w:pStyle w:val="TableContents"/>
              <w:bidi w:val="0"/>
              <w:spacing w:before="0" w:after="283"/>
              <w:jc w:val="right"/>
              <w:rPr/>
            </w:pPr>
            <w:r>
              <w:rPr/>
              <w:t>(270,377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Income tax expense</w:t>
            </w:r>
          </w:p>
        </w:tc>
        <w:tc>
          <w:tcPr>
            <w:tcW w:w="146"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7,915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(8,191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11,854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(6,934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Other, net</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(855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(5,972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(1,925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11,978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14,218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36,387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42,344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24,138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33,882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73,037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77,814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Asset impairment charges</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302,284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302,284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EBITDA</w:t>
            </w:r>
          </w:p>
        </w:tc>
        <w:tc>
          <w:tcPr>
            <w:tcW w:w="146" w:type="dxa"/>
            <w:tcBorders/>
            <w:vAlign w:val="center"/>
          </w:tcPr>
          <w:p>
            <w:pPr>
              <w:pStyle w:val="TableContents"/>
              <w:bidi w:val="0"/>
              <w:spacing w:before="0" w:after="283"/>
              <w:jc w:val="right"/>
              <w:rPr/>
            </w:pPr>
            <w:r>
              <w:rPr/>
              <w:t> </w:t>
            </w:r>
          </w:p>
        </w:tc>
        <w:tc>
          <w:tcPr>
            <w:tcW w:w="31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70,628</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7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65,331</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28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8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141,089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9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143,206</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EBITDA reconciling items from below</w:t>
            </w:r>
          </w:p>
        </w:tc>
        <w:tc>
          <w:tcPr>
            <w:tcW w:w="146"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2,117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4,964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3,207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28,766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Adjusted EBITDA</w:t>
            </w:r>
          </w:p>
        </w:tc>
        <w:tc>
          <w:tcPr>
            <w:tcW w:w="146" w:type="dxa"/>
            <w:tcBorders/>
            <w:vAlign w:val="center"/>
          </w:tcPr>
          <w:p>
            <w:pPr>
              <w:pStyle w:val="TableContents"/>
              <w:bidi w:val="0"/>
              <w:spacing w:before="0" w:after="283"/>
              <w:jc w:val="left"/>
              <w:rPr/>
            </w:pPr>
            <w:r>
              <w:rPr/>
              <w:t> </w:t>
            </w:r>
          </w:p>
        </w:tc>
        <w:tc>
          <w:tcPr>
            <w:tcW w:w="31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72,745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70,295</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28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144,296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9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171,972</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rStyle w:val="StrongEmphasis"/>
              </w:rPr>
              <w:t>Reconciling Items</w:t>
            </w:r>
          </w:p>
        </w:tc>
        <w:tc>
          <w:tcPr>
            <w:tcW w:w="146" w:type="dxa"/>
            <w:tcBorders/>
            <w:vAlign w:val="center"/>
          </w:tcPr>
          <w:p>
            <w:pPr>
              <w:pStyle w:val="TableContents"/>
              <w:bidi w:val="0"/>
              <w:spacing w:before="0" w:after="283"/>
              <w:jc w:val="left"/>
              <w:rPr/>
            </w:pPr>
            <w:r>
              <w:rPr/>
              <w:t> </w:t>
            </w:r>
          </w:p>
        </w:tc>
        <w:tc>
          <w:tcPr>
            <w:tcW w:w="2983"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Three Months Ended July 31, 2026</w:t>
            </w:r>
          </w:p>
        </w:tc>
        <w:tc>
          <w:tcPr>
            <w:tcW w:w="376" w:type="dxa"/>
            <w:tcBorders/>
            <w:vAlign w:val="center"/>
          </w:tcPr>
          <w:p>
            <w:pPr>
              <w:pStyle w:val="TableContents"/>
              <w:bidi w:val="0"/>
              <w:spacing w:before="0" w:after="283"/>
              <w:jc w:val="left"/>
              <w:rPr/>
            </w:pPr>
            <w:r>
              <w:rPr/>
              <w:t> </w:t>
            </w:r>
          </w:p>
        </w:tc>
        <w:tc>
          <w:tcPr>
            <w:tcW w:w="3060"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Three Months Ended July 31, 2025</w:t>
            </w:r>
          </w:p>
        </w:tc>
        <w:tc>
          <w:tcPr>
            <w:tcW w:w="376" w:type="dxa"/>
            <w:tcBorders/>
            <w:vAlign w:val="center"/>
          </w:tcPr>
          <w:p>
            <w:pPr>
              <w:pStyle w:val="TableContents"/>
              <w:bidi w:val="0"/>
              <w:spacing w:before="0" w:after="283"/>
              <w:jc w:val="center"/>
              <w:rPr/>
            </w:pPr>
            <w:r>
              <w:rPr/>
              <w:t> </w:t>
            </w:r>
          </w:p>
        </w:tc>
        <w:tc>
          <w:tcPr>
            <w:tcW w:w="2983"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Nine Months Ended July 31, 2026</w:t>
            </w:r>
          </w:p>
        </w:tc>
        <w:tc>
          <w:tcPr>
            <w:tcW w:w="376" w:type="dxa"/>
            <w:tcBorders/>
            <w:vAlign w:val="center"/>
          </w:tcPr>
          <w:p>
            <w:pPr>
              <w:pStyle w:val="TableContents"/>
              <w:bidi w:val="0"/>
              <w:spacing w:before="0" w:after="283"/>
              <w:jc w:val="left"/>
              <w:rPr/>
            </w:pPr>
            <w:r>
              <w:rPr/>
              <w:t> </w:t>
            </w:r>
          </w:p>
        </w:tc>
        <w:tc>
          <w:tcPr>
            <w:tcW w:w="3060" w:type="dxa"/>
            <w:gridSpan w:val="7"/>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Nine Months Ended July 31, 2025</w:t>
            </w:r>
          </w:p>
        </w:tc>
        <w:tc>
          <w:tcPr>
            <w:tcW w:w="481" w:type="dxa"/>
            <w:tcBorders/>
            <w:vAlign w:val="center"/>
          </w:tcPr>
          <w:p>
            <w:pPr>
              <w:pStyle w:val="TableContents"/>
              <w:bidi w:val="0"/>
              <w:spacing w:before="0" w:after="283"/>
              <w:jc w:val="center"/>
              <w:rPr/>
            </w:pPr>
            <w:r>
              <w:rPr/>
              <w:t> </w:t>
            </w:r>
          </w:p>
        </w:tc>
      </w:tr>
      <w:tr>
        <w:trPr/>
        <w:tc>
          <w:tcPr>
            <w:tcW w:w="156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Income Statement</w:t>
            </w:r>
          </w:p>
        </w:tc>
        <w:tc>
          <w:tcPr>
            <w:tcW w:w="146" w:type="dxa"/>
            <w:tcBorders/>
            <w:vAlign w:val="center"/>
          </w:tcPr>
          <w:p>
            <w:pPr>
              <w:pStyle w:val="TableContents"/>
              <w:bidi w:val="0"/>
              <w:spacing w:before="0" w:after="283"/>
              <w:jc w:val="center"/>
              <w:rPr/>
            </w:pPr>
            <w:r>
              <w:rPr/>
              <w:t> </w:t>
            </w:r>
          </w:p>
        </w:tc>
        <w:tc>
          <w:tcPr>
            <w:tcW w:w="129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Reconciling Items</w:t>
            </w:r>
          </w:p>
        </w:tc>
        <w:tc>
          <w:tcPr>
            <w:tcW w:w="376" w:type="dxa"/>
            <w:tcBorders/>
            <w:vAlign w:val="center"/>
          </w:tcPr>
          <w:p>
            <w:pPr>
              <w:pStyle w:val="TableContents"/>
              <w:bidi w:val="0"/>
              <w:spacing w:before="0" w:after="283"/>
              <w:jc w:val="left"/>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Income Statement</w:t>
            </w:r>
          </w:p>
        </w:tc>
        <w:tc>
          <w:tcPr>
            <w:tcW w:w="146" w:type="dxa"/>
            <w:tcBorders/>
            <w:vAlign w:val="center"/>
          </w:tcPr>
          <w:p>
            <w:pPr>
              <w:pStyle w:val="TableContents"/>
              <w:bidi w:val="0"/>
              <w:spacing w:before="0" w:after="283"/>
              <w:jc w:val="center"/>
              <w:rPr/>
            </w:pPr>
            <w:r>
              <w:rPr/>
              <w:t> </w:t>
            </w:r>
          </w:p>
        </w:tc>
        <w:tc>
          <w:tcPr>
            <w:tcW w:w="13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Reconciling Items</w:t>
            </w:r>
          </w:p>
        </w:tc>
        <w:tc>
          <w:tcPr>
            <w:tcW w:w="376" w:type="dxa"/>
            <w:tcBorders/>
            <w:vAlign w:val="center"/>
          </w:tcPr>
          <w:p>
            <w:pPr>
              <w:pStyle w:val="TableContents"/>
              <w:bidi w:val="0"/>
              <w:spacing w:before="0" w:after="283"/>
              <w:jc w:val="center"/>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Income Statement</w:t>
            </w:r>
          </w:p>
        </w:tc>
        <w:tc>
          <w:tcPr>
            <w:tcW w:w="146" w:type="dxa"/>
            <w:tcBorders/>
            <w:vAlign w:val="center"/>
          </w:tcPr>
          <w:p>
            <w:pPr>
              <w:pStyle w:val="TableContents"/>
              <w:bidi w:val="0"/>
              <w:spacing w:before="0" w:after="283"/>
              <w:jc w:val="center"/>
              <w:rPr/>
            </w:pPr>
            <w:r>
              <w:rPr/>
              <w:t> </w:t>
            </w:r>
          </w:p>
        </w:tc>
        <w:tc>
          <w:tcPr>
            <w:tcW w:w="129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Reconciling Items</w:t>
            </w:r>
          </w:p>
        </w:tc>
        <w:tc>
          <w:tcPr>
            <w:tcW w:w="376" w:type="dxa"/>
            <w:tcBorders/>
            <w:vAlign w:val="center"/>
          </w:tcPr>
          <w:p>
            <w:pPr>
              <w:pStyle w:val="TableContents"/>
              <w:bidi w:val="0"/>
              <w:spacing w:before="0" w:after="283"/>
              <w:jc w:val="left"/>
              <w:rPr/>
            </w:pPr>
            <w:r>
              <w:rPr/>
              <w:t> </w:t>
            </w:r>
          </w:p>
        </w:tc>
        <w:tc>
          <w:tcPr>
            <w:tcW w:w="154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Income Statement</w:t>
            </w:r>
          </w:p>
        </w:tc>
        <w:tc>
          <w:tcPr>
            <w:tcW w:w="146" w:type="dxa"/>
            <w:tcBorders/>
            <w:vAlign w:val="center"/>
          </w:tcPr>
          <w:p>
            <w:pPr>
              <w:pStyle w:val="TableContents"/>
              <w:bidi w:val="0"/>
              <w:spacing w:before="0" w:after="283"/>
              <w:jc w:val="center"/>
              <w:rPr/>
            </w:pPr>
            <w:r>
              <w:rPr/>
              <w:t> </w:t>
            </w:r>
          </w:p>
        </w:tc>
        <w:tc>
          <w:tcPr>
            <w:tcW w:w="13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Reconciling Items</w:t>
            </w:r>
          </w:p>
        </w:tc>
        <w:tc>
          <w:tcPr>
            <w:tcW w:w="481" w:type="dxa"/>
            <w:tcBorders/>
            <w:vAlign w:val="center"/>
          </w:tcPr>
          <w:p>
            <w:pPr>
              <w:pStyle w:val="TableContents"/>
              <w:bidi w:val="0"/>
              <w:spacing w:before="0" w:after="283"/>
              <w:jc w:val="center"/>
              <w:rPr/>
            </w:pPr>
            <w:r>
              <w:rPr/>
              <w:t> </w:t>
            </w:r>
          </w:p>
        </w:tc>
      </w:tr>
      <w:tr>
        <w:trPr/>
        <w:tc>
          <w:tcPr>
            <w:tcW w:w="1561" w:type="dxa"/>
            <w:tcBorders/>
            <w:vAlign w:val="center"/>
          </w:tcPr>
          <w:p>
            <w:pPr>
              <w:pStyle w:val="TableContents"/>
              <w:bidi w:val="0"/>
              <w:spacing w:before="0" w:after="283"/>
              <w:jc w:val="left"/>
              <w:rPr/>
            </w:pPr>
            <w:r>
              <w:rPr/>
              <w:t>Net sales</w:t>
            </w:r>
          </w:p>
        </w:tc>
        <w:tc>
          <w:tcPr>
            <w:tcW w:w="146"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right"/>
              <w:rPr/>
            </w:pPr>
            <w:r>
              <w:rPr/>
              <w:t>$</w:t>
            </w:r>
          </w:p>
        </w:tc>
        <w:tc>
          <w:tcPr>
            <w:tcW w:w="1046" w:type="dxa"/>
            <w:tcBorders/>
            <w:vAlign w:val="center"/>
          </w:tcPr>
          <w:p>
            <w:pPr>
              <w:pStyle w:val="TableContents"/>
              <w:bidi w:val="0"/>
              <w:spacing w:before="0" w:after="283"/>
              <w:jc w:val="right"/>
              <w:rPr/>
            </w:pPr>
            <w:r>
              <w:rPr/>
              <w:t>501,845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w:t>
            </w:r>
          </w:p>
        </w:tc>
        <w:tc>
          <w:tcPr>
            <w:tcW w:w="79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w:t>
            </w:r>
          </w:p>
        </w:tc>
        <w:tc>
          <w:tcPr>
            <w:tcW w:w="1076" w:type="dxa"/>
            <w:tcBorders/>
            <w:vAlign w:val="center"/>
          </w:tcPr>
          <w:p>
            <w:pPr>
              <w:pStyle w:val="TableContents"/>
              <w:bidi w:val="0"/>
              <w:spacing w:before="0" w:after="283"/>
              <w:jc w:val="right"/>
              <w:rPr/>
            </w:pPr>
            <w:r>
              <w:rPr/>
              <w:t>495,273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center"/>
              <w:rPr/>
            </w:pPr>
            <w:r>
              <w:rPr/>
              <w:t> </w:t>
            </w:r>
          </w:p>
        </w:tc>
        <w:tc>
          <w:tcPr>
            <w:tcW w:w="280" w:type="dxa"/>
            <w:tcBorders/>
            <w:vAlign w:val="center"/>
          </w:tcPr>
          <w:p>
            <w:pPr>
              <w:pStyle w:val="TableContents"/>
              <w:bidi w:val="0"/>
              <w:spacing w:before="0" w:after="283"/>
              <w:jc w:val="right"/>
              <w:rPr/>
            </w:pPr>
            <w:r>
              <w:rPr/>
              <w:t>$</w:t>
            </w:r>
          </w:p>
        </w:tc>
        <w:tc>
          <w:tcPr>
            <w:tcW w:w="1085" w:type="dxa"/>
            <w:tcBorders/>
            <w:vAlign w:val="center"/>
          </w:tcPr>
          <w:p>
            <w:pPr>
              <w:pStyle w:val="TableContents"/>
              <w:bidi w:val="0"/>
              <w:spacing w:before="0" w:after="283"/>
              <w:jc w:val="right"/>
              <w:rPr/>
            </w:pPr>
            <w:r>
              <w:rPr/>
              <w:t>1,373,301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w:t>
            </w:r>
          </w:p>
        </w:tc>
        <w:tc>
          <w:tcPr>
            <w:tcW w:w="1096" w:type="dxa"/>
            <w:tcBorders/>
            <w:vAlign w:val="center"/>
          </w:tcPr>
          <w:p>
            <w:pPr>
              <w:pStyle w:val="TableContents"/>
              <w:bidi w:val="0"/>
              <w:spacing w:before="0" w:after="283"/>
              <w:jc w:val="right"/>
              <w:rPr/>
            </w:pPr>
            <w:r>
              <w:rPr/>
              <w:t>1,347,795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pPr>
            <w:r>
              <w:rPr/>
              <w:t> </w:t>
            </w:r>
          </w:p>
        </w:tc>
      </w:tr>
      <w:tr>
        <w:trPr/>
        <w:tc>
          <w:tcPr>
            <w:tcW w:w="1561" w:type="dxa"/>
            <w:tcBorders/>
            <w:vAlign w:val="center"/>
          </w:tcPr>
          <w:p>
            <w:pPr>
              <w:pStyle w:val="TableContents"/>
              <w:bidi w:val="0"/>
              <w:spacing w:before="0" w:after="283"/>
              <w:jc w:val="left"/>
              <w:rPr/>
            </w:pPr>
            <w:r>
              <w:rPr/>
              <w:t>Cost of sales</w:t>
            </w:r>
          </w:p>
        </w:tc>
        <w:tc>
          <w:tcPr>
            <w:tcW w:w="146"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360,380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791" w:type="dxa"/>
            <w:tcBorders/>
            <w:vAlign w:val="center"/>
          </w:tcPr>
          <w:p>
            <w:pPr>
              <w:pStyle w:val="TableContents"/>
              <w:bidi w:val="0"/>
              <w:spacing w:before="0" w:after="283"/>
              <w:jc w:val="right"/>
              <w:rPr/>
            </w:pPr>
            <w:r>
              <w:rPr/>
              <w:t>(1,223</w:t>
            </w:r>
          </w:p>
        </w:tc>
        <w:tc>
          <w:tcPr>
            <w:tcW w:w="181"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(1)</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357,305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(148</w:t>
            </w:r>
          </w:p>
        </w:tc>
        <w:tc>
          <w:tcPr>
            <w:tcW w:w="181"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(1)</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1,015,517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(1,751</w:t>
            </w:r>
          </w:p>
        </w:tc>
        <w:tc>
          <w:tcPr>
            <w:tcW w:w="181"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(1)</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986,129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(1,124</w:t>
            </w:r>
          </w:p>
        </w:tc>
        <w:tc>
          <w:tcPr>
            <w:tcW w:w="181"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rStyle w:val="Emphasis"/>
              </w:rPr>
              <w:t>(1)</w:t>
            </w:r>
          </w:p>
        </w:tc>
      </w:tr>
      <w:tr>
        <w:trPr/>
        <w:tc>
          <w:tcPr>
            <w:tcW w:w="1561" w:type="dxa"/>
            <w:tcBorders/>
            <w:vAlign w:val="center"/>
          </w:tcPr>
          <w:p>
            <w:pPr>
              <w:pStyle w:val="TableContents"/>
              <w:bidi w:val="0"/>
              <w:spacing w:before="0" w:after="283"/>
              <w:jc w:val="left"/>
              <w:rPr/>
            </w:pPr>
            <w:r>
              <w:rPr/>
              <w:t>Selling, general and administrative</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70,837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791" w:type="dxa"/>
            <w:tcBorders/>
            <w:vAlign w:val="center"/>
          </w:tcPr>
          <w:p>
            <w:pPr>
              <w:pStyle w:val="TableContents"/>
              <w:bidi w:val="0"/>
              <w:spacing w:before="0" w:after="283"/>
              <w:jc w:val="right"/>
              <w:rPr/>
            </w:pPr>
            <w:r>
              <w:rPr/>
              <w:t>(894</w:t>
            </w:r>
          </w:p>
        </w:tc>
        <w:tc>
          <w:tcPr>
            <w:tcW w:w="181"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(1),(3)</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71,270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(3,449</w:t>
            </w:r>
          </w:p>
        </w:tc>
        <w:tc>
          <w:tcPr>
            <w:tcW w:w="181"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(1),(3)</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216,695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(1,456</w:t>
            </w:r>
          </w:p>
        </w:tc>
        <w:tc>
          <w:tcPr>
            <w:tcW w:w="181"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(1),(3)</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208,253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(17,435</w:t>
            </w:r>
          </w:p>
        </w:tc>
        <w:tc>
          <w:tcPr>
            <w:tcW w:w="181"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rStyle w:val="Emphasis"/>
              </w:rPr>
              <w:t>(1),(2),(3)</w:t>
            </w:r>
          </w:p>
        </w:tc>
      </w:tr>
      <w:tr>
        <w:trPr/>
        <w:tc>
          <w:tcPr>
            <w:tcW w:w="1561" w:type="dxa"/>
            <w:tcBorders/>
            <w:vAlign w:val="center"/>
          </w:tcPr>
          <w:p>
            <w:pPr>
              <w:pStyle w:val="TableContents"/>
              <w:bidi w:val="0"/>
              <w:spacing w:before="0" w:after="283"/>
              <w:jc w:val="left"/>
              <w:rPr/>
            </w:pPr>
            <w:r>
              <w:rPr/>
              <w:t>Restructuring charges</w:t>
            </w:r>
          </w:p>
        </w:tc>
        <w:tc>
          <w:tcPr>
            <w:tcW w:w="146" w:type="dxa"/>
            <w:tcBorders/>
            <w:vAlign w:val="center"/>
          </w:tcPr>
          <w:p>
            <w:pPr>
              <w:pStyle w:val="TableContents"/>
              <w:bidi w:val="0"/>
              <w:spacing w:before="0" w:after="283"/>
              <w:jc w:val="right"/>
              <w:rPr/>
            </w:pPr>
            <w:r>
              <w:rPr/>
              <w:t> </w:t>
            </w:r>
          </w:p>
        </w:tc>
        <w:tc>
          <w:tcPr>
            <w:tcW w:w="3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1,367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(1,367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(4)</w:t>
            </w:r>
          </w:p>
        </w:tc>
        <w:tc>
          <w:tcPr>
            <w:tcW w:w="28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10,207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(10,207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rStyle w:val="Emphasis"/>
              </w:rPr>
              <w:t>(4)</w:t>
            </w:r>
          </w:p>
        </w:tc>
      </w:tr>
      <w:tr>
        <w:trPr/>
        <w:tc>
          <w:tcPr>
            <w:tcW w:w="1561" w:type="dxa"/>
            <w:tcBorders/>
            <w:vAlign w:val="center"/>
          </w:tcPr>
          <w:p>
            <w:pPr>
              <w:pStyle w:val="TableContents"/>
              <w:bidi w:val="0"/>
              <w:spacing w:before="0" w:after="283"/>
              <w:jc w:val="left"/>
              <w:rPr/>
            </w:pPr>
            <w:r>
              <w:rPr/>
              <w:t>EBITDA</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70,628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791" w:type="dxa"/>
            <w:tcBorders/>
            <w:vAlign w:val="center"/>
          </w:tcPr>
          <w:p>
            <w:pPr>
              <w:pStyle w:val="TableContents"/>
              <w:bidi w:val="0"/>
              <w:spacing w:before="0" w:after="283"/>
              <w:jc w:val="right"/>
              <w:rPr/>
            </w:pPr>
            <w:r>
              <w:rPr/>
              <w:t>2,117</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65,331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4,964</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141,089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3,207</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143,206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28,766</w:t>
            </w:r>
          </w:p>
        </w:tc>
        <w:tc>
          <w:tcPr>
            <w:tcW w:w="18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Asset impairment charges</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79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302,284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(302,284</w:t>
            </w:r>
          </w:p>
        </w:tc>
        <w:tc>
          <w:tcPr>
            <w:tcW w:w="181"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(5)</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302,284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(302,284</w:t>
            </w:r>
          </w:p>
        </w:tc>
        <w:tc>
          <w:tcPr>
            <w:tcW w:w="181"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rStyle w:val="Emphasis"/>
              </w:rPr>
              <w:t>(5)</w:t>
            </w:r>
          </w:p>
        </w:tc>
      </w:tr>
      <w:tr>
        <w:trPr/>
        <w:tc>
          <w:tcPr>
            <w:tcW w:w="1561" w:type="dxa"/>
            <w:tcBorders/>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left"/>
              <w:rPr/>
            </w:pPr>
            <w:r>
              <w:rPr/>
              <w:t> </w:t>
            </w:r>
          </w:p>
        </w:tc>
        <w:tc>
          <w:tcPr>
            <w:tcW w:w="3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24,138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(9,758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(6)</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33,882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(19,604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(6)</w:t>
            </w:r>
          </w:p>
        </w:tc>
        <w:tc>
          <w:tcPr>
            <w:tcW w:w="28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73,037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(29,291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(6)</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77,814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(36,708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rStyle w:val="Emphasis"/>
              </w:rPr>
              <w:t>(6)</w:t>
            </w:r>
          </w:p>
        </w:tc>
      </w:tr>
      <w:tr>
        <w:trPr/>
        <w:tc>
          <w:tcPr>
            <w:tcW w:w="1561" w:type="dxa"/>
            <w:tcBorders/>
            <w:vAlign w:val="center"/>
          </w:tcPr>
          <w:p>
            <w:pPr>
              <w:pStyle w:val="TableContents"/>
              <w:bidi w:val="0"/>
              <w:spacing w:before="0" w:after="283"/>
              <w:jc w:val="left"/>
              <w:rPr/>
            </w:pPr>
            <w:r>
              <w:rPr/>
              <w:t>Operating income (loss)</w:t>
            </w:r>
          </w:p>
        </w:tc>
        <w:tc>
          <w:tcPr>
            <w:tcW w:w="146"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46,490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791" w:type="dxa"/>
            <w:tcBorders/>
            <w:vAlign w:val="center"/>
          </w:tcPr>
          <w:p>
            <w:pPr>
              <w:pStyle w:val="TableContents"/>
              <w:bidi w:val="0"/>
              <w:spacing w:before="0" w:after="283"/>
              <w:jc w:val="right"/>
              <w:rPr/>
            </w:pPr>
            <w:r>
              <w:rPr/>
              <w:t>11,875</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(270,835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326,852</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68,052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32,498</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(236,892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367,758</w:t>
            </w:r>
          </w:p>
        </w:tc>
        <w:tc>
          <w:tcPr>
            <w:tcW w:w="18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(11,978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79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(14,218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(36,387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(42,344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Other, net</w:t>
            </w:r>
          </w:p>
        </w:tc>
        <w:tc>
          <w:tcPr>
            <w:tcW w:w="146" w:type="dxa"/>
            <w:tcBorders/>
            <w:vAlign w:val="center"/>
          </w:tcPr>
          <w:p>
            <w:pPr>
              <w:pStyle w:val="TableContents"/>
              <w:bidi w:val="0"/>
              <w:spacing w:before="0" w:after="283"/>
              <w:jc w:val="left"/>
              <w:rPr/>
            </w:pPr>
            <w:r>
              <w:rPr/>
              <w:t> </w:t>
            </w:r>
          </w:p>
        </w:tc>
        <w:tc>
          <w:tcPr>
            <w:tcW w:w="3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3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rStyle w:val="Emphasis"/>
              </w:rPr>
              <w:t>(7)</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855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(949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(7)</w:t>
            </w:r>
          </w:p>
        </w:tc>
        <w:tc>
          <w:tcPr>
            <w:tcW w:w="28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5,972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(4,942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(7)</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rStyle w:val="Emphasis"/>
              </w:rPr>
              <w:t>(7)</w:t>
            </w:r>
          </w:p>
        </w:tc>
      </w:tr>
      <w:tr>
        <w:trPr/>
        <w:tc>
          <w:tcPr>
            <w:tcW w:w="1561" w:type="dxa"/>
            <w:tcBorders/>
            <w:vAlign w:val="center"/>
          </w:tcPr>
          <w:p>
            <w:pPr>
              <w:pStyle w:val="TableContents"/>
              <w:bidi w:val="0"/>
              <w:spacing w:before="0" w:after="283"/>
              <w:jc w:val="left"/>
              <w:rPr/>
            </w:pPr>
            <w:r>
              <w:rPr/>
              <w:t>Income (loss) before income taxes</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1046" w:type="dxa"/>
            <w:tcBorders/>
            <w:vAlign w:val="center"/>
          </w:tcPr>
          <w:p>
            <w:pPr>
              <w:pStyle w:val="TableContents"/>
              <w:bidi w:val="0"/>
              <w:spacing w:before="0" w:after="283"/>
              <w:jc w:val="right"/>
              <w:rPr/>
            </w:pPr>
            <w:r>
              <w:rPr/>
              <w:t>34,419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791" w:type="dxa"/>
            <w:tcBorders/>
            <w:vAlign w:val="center"/>
          </w:tcPr>
          <w:p>
            <w:pPr>
              <w:pStyle w:val="TableContents"/>
              <w:bidi w:val="0"/>
              <w:spacing w:before="0" w:after="283"/>
              <w:jc w:val="right"/>
              <w:rPr/>
            </w:pPr>
            <w:r>
              <w:rPr/>
              <w:t>12,163</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1076" w:type="dxa"/>
            <w:tcBorders/>
            <w:vAlign w:val="center"/>
          </w:tcPr>
          <w:p>
            <w:pPr>
              <w:pStyle w:val="TableContents"/>
              <w:bidi w:val="0"/>
              <w:spacing w:before="0" w:after="283"/>
              <w:jc w:val="right"/>
              <w:rPr/>
            </w:pPr>
            <w:r>
              <w:rPr/>
              <w:t>(284,198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325,903</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right"/>
              <w:rPr/>
            </w:pPr>
            <w:r>
              <w:rPr/>
              <w:t> </w:t>
            </w:r>
          </w:p>
        </w:tc>
        <w:tc>
          <w:tcPr>
            <w:tcW w:w="1085" w:type="dxa"/>
            <w:tcBorders/>
            <w:vAlign w:val="center"/>
          </w:tcPr>
          <w:p>
            <w:pPr>
              <w:pStyle w:val="TableContents"/>
              <w:bidi w:val="0"/>
              <w:spacing w:before="0" w:after="283"/>
              <w:jc w:val="right"/>
              <w:rPr/>
            </w:pPr>
            <w:r>
              <w:rPr/>
              <w:t>37,637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27,556</w:t>
            </w:r>
          </w:p>
        </w:tc>
        <w:tc>
          <w:tcPr>
            <w:tcW w:w="1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 </w:t>
            </w:r>
          </w:p>
        </w:tc>
        <w:tc>
          <w:tcPr>
            <w:tcW w:w="1096" w:type="dxa"/>
            <w:tcBorders/>
            <w:vAlign w:val="center"/>
          </w:tcPr>
          <w:p>
            <w:pPr>
              <w:pStyle w:val="TableContents"/>
              <w:bidi w:val="0"/>
              <w:spacing w:before="0" w:after="283"/>
              <w:jc w:val="right"/>
              <w:rPr/>
            </w:pPr>
            <w:r>
              <w:rPr/>
              <w:t>(277,311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367,640</w:t>
            </w:r>
          </w:p>
        </w:tc>
        <w:tc>
          <w:tcPr>
            <w:tcW w:w="18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Income tax (expense) benefit</w:t>
            </w:r>
          </w:p>
        </w:tc>
        <w:tc>
          <w:tcPr>
            <w:tcW w:w="146" w:type="dxa"/>
            <w:tcBorders/>
            <w:vAlign w:val="center"/>
          </w:tcPr>
          <w:p>
            <w:pPr>
              <w:pStyle w:val="TableContents"/>
              <w:bidi w:val="0"/>
              <w:spacing w:before="0" w:after="283"/>
              <w:jc w:val="right"/>
              <w:rPr/>
            </w:pPr>
            <w:r>
              <w:rPr/>
              <w:t> </w:t>
            </w:r>
          </w:p>
        </w:tc>
        <w:tc>
          <w:tcPr>
            <w:tcW w:w="31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(7,915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319" w:type="dxa"/>
            <w:tcBorders/>
            <w:vAlign w:val="center"/>
          </w:tcPr>
          <w:p>
            <w:pPr>
              <w:pStyle w:val="TableContents"/>
              <w:bidi w:val="0"/>
              <w:spacing w:before="0" w:after="283"/>
              <w:jc w:val="right"/>
              <w:rPr/>
            </w:pPr>
            <w:r>
              <w:rPr/>
              <w:t> </w:t>
            </w:r>
          </w:p>
        </w:tc>
        <w:tc>
          <w:tcPr>
            <w:tcW w:w="791" w:type="dxa"/>
            <w:tcBorders/>
            <w:vAlign w:val="center"/>
          </w:tcPr>
          <w:p>
            <w:pPr>
              <w:pStyle w:val="TableContents"/>
              <w:bidi w:val="0"/>
              <w:spacing w:before="0" w:after="283"/>
              <w:jc w:val="right"/>
              <w:rPr/>
            </w:pPr>
            <w:r>
              <w:rPr/>
              <w:t>(2,656</w:t>
            </w:r>
          </w:p>
        </w:tc>
        <w:tc>
          <w:tcPr>
            <w:tcW w:w="181"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(8)</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8,191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(18,325</w:t>
            </w:r>
          </w:p>
        </w:tc>
        <w:tc>
          <w:tcPr>
            <w:tcW w:w="181"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(8)</w:t>
            </w:r>
          </w:p>
        </w:tc>
        <w:tc>
          <w:tcPr>
            <w:tcW w:w="28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8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(11,854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9"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(6,335</w:t>
            </w:r>
          </w:p>
        </w:tc>
        <w:tc>
          <w:tcPr>
            <w:tcW w:w="181"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rStyle w:val="Emphasis"/>
              </w:rPr>
              <w:t>(8)</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6,934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961" w:type="dxa"/>
            <w:tcBorders/>
            <w:vAlign w:val="center"/>
          </w:tcPr>
          <w:p>
            <w:pPr>
              <w:pStyle w:val="TableContents"/>
              <w:bidi w:val="0"/>
              <w:spacing w:before="0" w:after="283"/>
              <w:jc w:val="right"/>
              <w:rPr/>
            </w:pPr>
            <w:r>
              <w:rPr/>
              <w:t>(28,884</w:t>
            </w:r>
          </w:p>
        </w:tc>
        <w:tc>
          <w:tcPr>
            <w:tcW w:w="181" w:type="dxa"/>
            <w:tcBorders/>
            <w:vAlign w:val="center"/>
          </w:tcPr>
          <w:p>
            <w:pPr>
              <w:pStyle w:val="TableContents"/>
              <w:bidi w:val="0"/>
              <w:spacing w:before="0" w:after="283"/>
              <w:jc w:val="left"/>
              <w:rPr/>
            </w:pPr>
            <w:r>
              <w:rPr/>
              <w:t>)</w:t>
            </w:r>
          </w:p>
        </w:tc>
        <w:tc>
          <w:tcPr>
            <w:tcW w:w="481" w:type="dxa"/>
            <w:tcBorders/>
            <w:vAlign w:val="center"/>
          </w:tcPr>
          <w:p>
            <w:pPr>
              <w:pStyle w:val="TableContents"/>
              <w:bidi w:val="0"/>
              <w:spacing w:before="0" w:after="283"/>
              <w:jc w:val="left"/>
              <w:rPr/>
            </w:pPr>
            <w:r>
              <w:rPr>
                <w:rStyle w:val="Emphasis"/>
              </w:rPr>
              <w:t>(8)</w:t>
            </w:r>
          </w:p>
        </w:tc>
      </w:tr>
      <w:tr>
        <w:trPr/>
        <w:tc>
          <w:tcPr>
            <w:tcW w:w="1561" w:type="dxa"/>
            <w:tcBorders/>
            <w:vAlign w:val="center"/>
          </w:tcPr>
          <w:p>
            <w:pPr>
              <w:pStyle w:val="TableContents"/>
              <w:bidi w:val="0"/>
              <w:spacing w:before="0" w:after="283"/>
              <w:jc w:val="left"/>
              <w:rPr/>
            </w:pPr>
            <w:r>
              <w:rPr/>
              <w:t>Net income (loss)</w:t>
            </w:r>
          </w:p>
        </w:tc>
        <w:tc>
          <w:tcPr>
            <w:tcW w:w="146" w:type="dxa"/>
            <w:tcBorders/>
            <w:vAlign w:val="center"/>
          </w:tcPr>
          <w:p>
            <w:pPr>
              <w:pStyle w:val="TableContents"/>
              <w:bidi w:val="0"/>
              <w:spacing w:before="0" w:after="283"/>
              <w:jc w:val="left"/>
              <w:rPr/>
            </w:pPr>
            <w:r>
              <w:rPr/>
              <w:t> </w:t>
            </w:r>
          </w:p>
        </w:tc>
        <w:tc>
          <w:tcPr>
            <w:tcW w:w="31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26,504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1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7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9,507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(276,007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307,578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center"/>
              <w:rPr/>
            </w:pPr>
            <w:r>
              <w:rPr/>
              <w:t> </w:t>
            </w:r>
          </w:p>
        </w:tc>
        <w:tc>
          <w:tcPr>
            <w:tcW w:w="28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25,783</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21,221</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9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(270,377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338,756</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center"/>
              <w:rPr/>
            </w:pPr>
            <w:r>
              <w:rPr/>
              <w:t> </w:t>
            </w:r>
          </w:p>
        </w:tc>
        <w:tc>
          <w:tcPr>
            <w:tcW w:w="154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center"/>
              <w:rPr/>
            </w:pPr>
            <w:r>
              <w:rPr/>
              <w:t> </w:t>
            </w:r>
          </w:p>
        </w:tc>
      </w:tr>
      <w:tr>
        <w:trPr/>
        <w:tc>
          <w:tcPr>
            <w:tcW w:w="1561" w:type="dxa"/>
            <w:tcBorders/>
            <w:vAlign w:val="center"/>
          </w:tcPr>
          <w:p>
            <w:pPr>
              <w:pStyle w:val="TableContents"/>
              <w:bidi w:val="0"/>
              <w:spacing w:before="0" w:after="283"/>
              <w:jc w:val="left"/>
              <w:rPr/>
            </w:pPr>
            <w:r>
              <w:rPr/>
              <w:t>Diluted earnings (loss) per share</w:t>
            </w:r>
          </w:p>
        </w:tc>
        <w:tc>
          <w:tcPr>
            <w:tcW w:w="146"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right"/>
              <w:rPr/>
            </w:pPr>
            <w:r>
              <w:rPr/>
              <w:t>$</w:t>
            </w:r>
          </w:p>
        </w:tc>
        <w:tc>
          <w:tcPr>
            <w:tcW w:w="1046" w:type="dxa"/>
            <w:tcBorders/>
            <w:vAlign w:val="center"/>
          </w:tcPr>
          <w:p>
            <w:pPr>
              <w:pStyle w:val="TableContents"/>
              <w:bidi w:val="0"/>
              <w:spacing w:before="0" w:after="283"/>
              <w:jc w:val="right"/>
              <w:rPr/>
            </w:pPr>
            <w:r>
              <w:rPr/>
              <w:t>0.58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w:t>
            </w:r>
          </w:p>
        </w:tc>
        <w:tc>
          <w:tcPr>
            <w:tcW w:w="1076" w:type="dxa"/>
            <w:tcBorders/>
            <w:vAlign w:val="center"/>
          </w:tcPr>
          <w:p>
            <w:pPr>
              <w:pStyle w:val="TableContents"/>
              <w:bidi w:val="0"/>
              <w:spacing w:before="0" w:after="283"/>
              <w:jc w:val="right"/>
              <w:rPr/>
            </w:pPr>
            <w:r>
              <w:rPr/>
              <w:t>(6.04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center"/>
              <w:rPr/>
            </w:pPr>
            <w:r>
              <w:rPr/>
              <w:t> </w:t>
            </w:r>
          </w:p>
        </w:tc>
        <w:tc>
          <w:tcPr>
            <w:tcW w:w="280" w:type="dxa"/>
            <w:tcBorders/>
            <w:vAlign w:val="center"/>
          </w:tcPr>
          <w:p>
            <w:pPr>
              <w:pStyle w:val="TableContents"/>
              <w:bidi w:val="0"/>
              <w:spacing w:before="0" w:after="283"/>
              <w:jc w:val="right"/>
              <w:rPr/>
            </w:pPr>
            <w:r>
              <w:rPr/>
              <w:t>$</w:t>
            </w:r>
          </w:p>
        </w:tc>
        <w:tc>
          <w:tcPr>
            <w:tcW w:w="1085" w:type="dxa"/>
            <w:tcBorders/>
            <w:vAlign w:val="center"/>
          </w:tcPr>
          <w:p>
            <w:pPr>
              <w:pStyle w:val="TableContents"/>
              <w:bidi w:val="0"/>
              <w:spacing w:before="0" w:after="283"/>
              <w:jc w:val="right"/>
              <w:rPr/>
            </w:pPr>
            <w:r>
              <w:rPr/>
              <w:t>0.57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right"/>
              <w:rPr/>
            </w:pPr>
            <w:r>
              <w:rPr/>
              <w:t>$</w:t>
            </w:r>
          </w:p>
        </w:tc>
        <w:tc>
          <w:tcPr>
            <w:tcW w:w="1096" w:type="dxa"/>
            <w:tcBorders/>
            <w:vAlign w:val="center"/>
          </w:tcPr>
          <w:p>
            <w:pPr>
              <w:pStyle w:val="TableContents"/>
              <w:bidi w:val="0"/>
              <w:spacing w:before="0" w:after="283"/>
              <w:jc w:val="right"/>
              <w:rPr/>
            </w:pPr>
            <w:r>
              <w:rPr/>
              <w:t>(5.83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center"/>
              <w:rPr/>
            </w:pPr>
            <w:r>
              <w:rPr/>
              <w:t> </w:t>
            </w:r>
          </w:p>
        </w:tc>
      </w:tr>
      <w:tr>
        <w:trPr/>
        <w:tc>
          <w:tcPr>
            <w:tcW w:w="15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center"/>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291" w:type="dxa"/>
            <w:gridSpan w:val="3"/>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368" w:type="dxa"/>
            <w:gridSpan w:val="3"/>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center"/>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gridSpan w:val="3"/>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r>
        <w:trPr/>
        <w:tc>
          <w:tcPr>
            <w:tcW w:w="15402" w:type="dxa"/>
            <w:gridSpan w:val="34"/>
            <w:tcBorders/>
            <w:vAlign w:val="center"/>
          </w:tcPr>
          <w:p>
            <w:pPr>
              <w:pStyle w:val="TableContents"/>
              <w:bidi w:val="0"/>
              <w:spacing w:before="0" w:after="283"/>
              <w:jc w:val="left"/>
              <w:rPr/>
            </w:pPr>
            <w:r>
              <w:rPr/>
              <w:t>(1) Severance and other expenses related to manufacturing footprint and performance optimization.</w:t>
            </w:r>
          </w:p>
        </w:tc>
      </w:tr>
      <w:tr>
        <w:trPr/>
        <w:tc>
          <w:tcPr>
            <w:tcW w:w="15402" w:type="dxa"/>
            <w:gridSpan w:val="34"/>
            <w:tcBorders/>
            <w:vAlign w:val="center"/>
          </w:tcPr>
          <w:p>
            <w:pPr>
              <w:pStyle w:val="TableContents"/>
              <w:bidi w:val="0"/>
              <w:spacing w:before="0" w:after="283"/>
              <w:jc w:val="left"/>
              <w:rPr/>
            </w:pPr>
            <w:r>
              <w:rPr/>
              <w:t>(2) Amortization of step-up for purchase price adjustments on inventory.</w:t>
            </w:r>
          </w:p>
        </w:tc>
      </w:tr>
      <w:tr>
        <w:trPr/>
        <w:tc>
          <w:tcPr>
            <w:tcW w:w="15402" w:type="dxa"/>
            <w:gridSpan w:val="34"/>
            <w:tcBorders/>
            <w:vAlign w:val="center"/>
          </w:tcPr>
          <w:p>
            <w:pPr>
              <w:pStyle w:val="TableContents"/>
              <w:bidi w:val="0"/>
              <w:spacing w:before="0" w:after="283"/>
              <w:jc w:val="left"/>
              <w:rPr/>
            </w:pPr>
            <w:r>
              <w:rPr/>
              <w:t>(3) Transaction, advisory fees, and severance and reorganization costs.</w:t>
            </w:r>
          </w:p>
        </w:tc>
      </w:tr>
      <w:tr>
        <w:trPr/>
        <w:tc>
          <w:tcPr>
            <w:tcW w:w="15402" w:type="dxa"/>
            <w:gridSpan w:val="34"/>
            <w:tcBorders/>
            <w:vAlign w:val="center"/>
          </w:tcPr>
          <w:p>
            <w:pPr>
              <w:pStyle w:val="TableContents"/>
              <w:bidi w:val="0"/>
              <w:spacing w:before="0" w:after="283"/>
              <w:jc w:val="left"/>
              <w:rPr/>
            </w:pPr>
            <w:r>
              <w:rPr/>
              <w:t>(4) Restructuring charges related to severance and disposal of software.</w:t>
            </w:r>
          </w:p>
        </w:tc>
      </w:tr>
      <w:tr>
        <w:trPr/>
        <w:tc>
          <w:tcPr>
            <w:tcW w:w="15402" w:type="dxa"/>
            <w:gridSpan w:val="34"/>
            <w:tcBorders/>
            <w:vAlign w:val="center"/>
          </w:tcPr>
          <w:p>
            <w:pPr>
              <w:pStyle w:val="TableContents"/>
              <w:bidi w:val="0"/>
              <w:spacing w:before="0" w:after="283"/>
              <w:jc w:val="left"/>
              <w:rPr/>
            </w:pPr>
            <w:r>
              <w:rPr/>
              <w:t>(5) Goodwill impairment.</w:t>
            </w:r>
          </w:p>
        </w:tc>
      </w:tr>
      <w:tr>
        <w:trPr/>
        <w:tc>
          <w:tcPr>
            <w:tcW w:w="15402" w:type="dxa"/>
            <w:gridSpan w:val="34"/>
            <w:tcBorders/>
            <w:vAlign w:val="center"/>
          </w:tcPr>
          <w:p>
            <w:pPr>
              <w:pStyle w:val="TableContents"/>
              <w:bidi w:val="0"/>
              <w:spacing w:before="0" w:after="283"/>
              <w:jc w:val="left"/>
              <w:rPr/>
            </w:pPr>
            <w:r>
              <w:rPr/>
              <w:t>(6) Amortization expense related to intangible assets.</w:t>
            </w:r>
          </w:p>
        </w:tc>
      </w:tr>
      <w:tr>
        <w:trPr/>
        <w:tc>
          <w:tcPr>
            <w:tcW w:w="15402" w:type="dxa"/>
            <w:gridSpan w:val="34"/>
            <w:tcBorders/>
            <w:vAlign w:val="center"/>
          </w:tcPr>
          <w:p>
            <w:pPr>
              <w:pStyle w:val="TableContents"/>
              <w:bidi w:val="0"/>
              <w:spacing w:before="0" w:after="283"/>
              <w:jc w:val="left"/>
              <w:rPr/>
            </w:pPr>
            <w:r>
              <w:rPr/>
              <w:t>(7) Foreign currency transaction (gains) losses.</w:t>
            </w:r>
          </w:p>
        </w:tc>
      </w:tr>
      <w:tr>
        <w:trPr/>
        <w:tc>
          <w:tcPr>
            <w:tcW w:w="15402" w:type="dxa"/>
            <w:gridSpan w:val="34"/>
            <w:tcBorders/>
            <w:vAlign w:val="center"/>
          </w:tcPr>
          <w:p>
            <w:pPr>
              <w:pStyle w:val="TableContents"/>
              <w:bidi w:val="0"/>
              <w:spacing w:before="0" w:after="283"/>
              <w:jc w:val="left"/>
              <w:rPr/>
            </w:pPr>
            <w:r>
              <w:rPr/>
              <w:t>(8) Tax impact of net income reconciling items.</w:t>
            </w:r>
          </w:p>
        </w:tc>
      </w:tr>
      <w:tr>
        <w:trPr/>
        <w:tc>
          <w:tcPr>
            <w:tcW w:w="15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1" w:type="dxa"/>
            <w:gridSpan w:val="3"/>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54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r>
    </w:tbl>
    <w:p>
      <w:pPr>
        <w:pStyle w:val="TextBody"/>
        <w:bidi w:val="0"/>
        <w:jc w:val="left"/>
        <w:rPr/>
      </w:pPr>
      <w:r>
        <w:rPr/>
      </w:r>
    </w:p>
    <w:tbl>
      <w:tblPr>
        <w:tblW w:w="10205" w:type="dxa"/>
        <w:jc w:val="left"/>
        <w:tblInd w:w="0" w:type="dxa"/>
        <w:tblLayout w:type="fixed"/>
        <w:tblCellMar>
          <w:top w:w="28" w:type="dxa"/>
          <w:left w:w="28" w:type="dxa"/>
          <w:bottom w:w="28" w:type="dxa"/>
          <w:right w:w="28" w:type="dxa"/>
        </w:tblCellMar>
      </w:tblPr>
      <w:tblGrid>
        <w:gridCol w:w="2013"/>
        <w:gridCol w:w="147"/>
        <w:gridCol w:w="231"/>
        <w:gridCol w:w="982"/>
        <w:gridCol w:w="307"/>
        <w:gridCol w:w="147"/>
        <w:gridCol w:w="231"/>
        <w:gridCol w:w="906"/>
        <w:gridCol w:w="308"/>
        <w:gridCol w:w="147"/>
        <w:gridCol w:w="229"/>
        <w:gridCol w:w="901"/>
        <w:gridCol w:w="306"/>
        <w:gridCol w:w="147"/>
        <w:gridCol w:w="279"/>
        <w:gridCol w:w="925"/>
        <w:gridCol w:w="192"/>
        <w:gridCol w:w="147"/>
        <w:gridCol w:w="228"/>
        <w:gridCol w:w="1075"/>
        <w:gridCol w:w="357"/>
      </w:tblGrid>
      <w:tr>
        <w:trPr/>
        <w:tc>
          <w:tcPr>
            <w:tcW w:w="10205" w:type="dxa"/>
            <w:gridSpan w:val="21"/>
            <w:tcBorders/>
            <w:vAlign w:val="center"/>
          </w:tcPr>
          <w:p>
            <w:pPr>
              <w:pStyle w:val="TableContents"/>
              <w:bidi w:val="0"/>
              <w:spacing w:before="0" w:after="283"/>
              <w:jc w:val="left"/>
              <w:rPr/>
            </w:pPr>
            <w:r>
              <w:rPr/>
              <w:t> </w:t>
            </w:r>
          </w:p>
        </w:tc>
      </w:tr>
      <w:tr>
        <w:trPr/>
        <w:tc>
          <w:tcPr>
            <w:tcW w:w="10205" w:type="dxa"/>
            <w:gridSpan w:val="21"/>
            <w:tcBorders/>
            <w:vAlign w:val="center"/>
          </w:tcPr>
          <w:p>
            <w:pPr>
              <w:pStyle w:val="TableContents"/>
              <w:bidi w:val="0"/>
              <w:spacing w:before="0" w:after="283"/>
              <w:jc w:val="center"/>
              <w:rPr/>
            </w:pPr>
            <w:r>
              <w:rPr>
                <w:rStyle w:val="StrongEmphasis"/>
              </w:rPr>
              <w:t>QUANEX BUILDING PRODUCTS CORPORATION</w:t>
            </w:r>
            <w:r>
              <w:rPr/>
              <w:br/>
            </w:r>
            <w:r>
              <w:rPr>
                <w:rStyle w:val="StrongEmphasis"/>
              </w:rPr>
              <w:t>SELECTED SEGMENT DATA</w:t>
            </w:r>
            <w:r>
              <w:rPr/>
              <w:br/>
              <w:t>(In thousands)</w:t>
              <w:br/>
              <w:t>(Unaudited)</w:t>
            </w:r>
          </w:p>
        </w:tc>
      </w:tr>
      <w:tr>
        <w:trPr/>
        <w:tc>
          <w:tcPr>
            <w:tcW w:w="2013"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520"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45"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3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660" w:type="dxa"/>
            <w:gridSpan w:val="3"/>
            <w:tcBorders/>
            <w:vAlign w:val="center"/>
          </w:tcPr>
          <w:p>
            <w:pPr>
              <w:pStyle w:val="TableContents"/>
              <w:bidi w:val="0"/>
              <w:spacing w:before="0" w:after="283"/>
              <w:jc w:val="right"/>
              <w:rPr/>
            </w:pPr>
            <w:r>
              <w:rPr/>
              <w:t> </w:t>
            </w:r>
          </w:p>
        </w:tc>
      </w:tr>
      <w:tr>
        <w:trPr/>
        <w:tc>
          <w:tcPr>
            <w:tcW w:w="10205" w:type="dxa"/>
            <w:gridSpan w:val="21"/>
            <w:tcBorders/>
            <w:vAlign w:val="center"/>
          </w:tcPr>
          <w:p>
            <w:pPr>
              <w:pStyle w:val="TableContents"/>
              <w:bidi w:val="0"/>
              <w:spacing w:before="0" w:after="283"/>
              <w:jc w:val="left"/>
              <w:rPr/>
            </w:pPr>
            <w:r>
              <w:rPr/>
              <w:t>This table provides gross margin, operating income (loss), EBITDA, and Adjusted EBITDA by reportable segment. Non-operating expense and income tax expense are not allocated to the reportable segments.</w:t>
            </w:r>
          </w:p>
        </w:tc>
      </w:tr>
      <w:tr>
        <w:trPr/>
        <w:tc>
          <w:tcPr>
            <w:tcW w:w="201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520" w:type="dxa"/>
            <w:gridSpan w:val="3"/>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45" w:type="dxa"/>
            <w:gridSpan w:val="3"/>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36" w:type="dxa"/>
            <w:gridSpan w:val="3"/>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396" w:type="dxa"/>
            <w:gridSpan w:val="3"/>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60" w:type="dxa"/>
            <w:gridSpan w:val="3"/>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center"/>
              <w:rPr/>
            </w:pPr>
            <w:r>
              <w:rPr/>
              <w:t> </w:t>
            </w:r>
          </w:p>
        </w:tc>
        <w:tc>
          <w:tcPr>
            <w:tcW w:w="152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Hardware Solutions</w:t>
            </w:r>
          </w:p>
        </w:tc>
        <w:tc>
          <w:tcPr>
            <w:tcW w:w="147" w:type="dxa"/>
            <w:tcBorders/>
            <w:vAlign w:val="center"/>
          </w:tcPr>
          <w:p>
            <w:pPr>
              <w:pStyle w:val="TableContents"/>
              <w:bidi w:val="0"/>
              <w:spacing w:before="0" w:after="283"/>
              <w:jc w:val="right"/>
              <w:rPr/>
            </w:pPr>
            <w:r>
              <w:rPr/>
              <w:t> </w:t>
            </w:r>
          </w:p>
        </w:tc>
        <w:tc>
          <w:tcPr>
            <w:tcW w:w="14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Extruded Solutions</w:t>
            </w:r>
          </w:p>
        </w:tc>
        <w:tc>
          <w:tcPr>
            <w:tcW w:w="147" w:type="dxa"/>
            <w:tcBorders/>
            <w:vAlign w:val="center"/>
          </w:tcPr>
          <w:p>
            <w:pPr>
              <w:pStyle w:val="TableContents"/>
              <w:bidi w:val="0"/>
              <w:spacing w:before="0" w:after="283"/>
              <w:jc w:val="right"/>
              <w:rPr/>
            </w:pPr>
            <w:r>
              <w:rPr/>
              <w:t> </w:t>
            </w:r>
          </w:p>
        </w:tc>
        <w:tc>
          <w:tcPr>
            <w:tcW w:w="14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Custom Solutions</w:t>
            </w:r>
          </w:p>
        </w:tc>
        <w:tc>
          <w:tcPr>
            <w:tcW w:w="147" w:type="dxa"/>
            <w:tcBorders/>
            <w:vAlign w:val="center"/>
          </w:tcPr>
          <w:p>
            <w:pPr>
              <w:pStyle w:val="TableContents"/>
              <w:bidi w:val="0"/>
              <w:spacing w:before="0" w:after="283"/>
              <w:jc w:val="center"/>
              <w:rPr/>
            </w:pPr>
            <w:r>
              <w:rPr/>
              <w:t> </w:t>
            </w:r>
          </w:p>
        </w:tc>
        <w:tc>
          <w:tcPr>
            <w:tcW w:w="139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Unallocated Corp &amp; Other</w:t>
            </w:r>
          </w:p>
        </w:tc>
        <w:tc>
          <w:tcPr>
            <w:tcW w:w="147" w:type="dxa"/>
            <w:tcBorders/>
            <w:vAlign w:val="center"/>
          </w:tcPr>
          <w:p>
            <w:pPr>
              <w:pStyle w:val="TableContents"/>
              <w:bidi w:val="0"/>
              <w:spacing w:before="0" w:after="283"/>
              <w:jc w:val="left"/>
              <w:rPr/>
            </w:pPr>
            <w:r>
              <w:rPr/>
              <w:t> </w:t>
            </w:r>
          </w:p>
        </w:tc>
        <w:tc>
          <w:tcPr>
            <w:tcW w:w="16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Total</w:t>
            </w:r>
          </w:p>
        </w:tc>
      </w:tr>
      <w:tr>
        <w:trPr/>
        <w:tc>
          <w:tcPr>
            <w:tcW w:w="2013" w:type="dxa"/>
            <w:tcBorders/>
            <w:vAlign w:val="center"/>
          </w:tcPr>
          <w:p>
            <w:pPr>
              <w:pStyle w:val="TableContents"/>
              <w:bidi w:val="0"/>
              <w:spacing w:before="0" w:after="283"/>
              <w:jc w:val="left"/>
              <w:rPr/>
            </w:pPr>
            <w:r>
              <w:rPr>
                <w:rStyle w:val="StrongEmphasis"/>
              </w:rPr>
              <w:t>Three months ended July 31, 2026</w:t>
            </w:r>
          </w:p>
        </w:tc>
        <w:tc>
          <w:tcPr>
            <w:tcW w:w="147" w:type="dxa"/>
            <w:tcBorders/>
            <w:vAlign w:val="center"/>
          </w:tcPr>
          <w:p>
            <w:pPr>
              <w:pStyle w:val="TableContents"/>
              <w:bidi w:val="0"/>
              <w:spacing w:before="0" w:after="283"/>
              <w:jc w:val="right"/>
              <w:rPr/>
            </w:pPr>
            <w:r>
              <w:rPr/>
              <w:t> </w:t>
            </w:r>
          </w:p>
        </w:tc>
        <w:tc>
          <w:tcPr>
            <w:tcW w:w="1520"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45"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3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c>
          <w:tcPr>
            <w:tcW w:w="1660" w:type="dxa"/>
            <w:gridSpan w:val="3"/>
            <w:tcBorders/>
            <w:vAlign w:val="center"/>
          </w:tcPr>
          <w:p>
            <w:pPr>
              <w:pStyle w:val="TableContents"/>
              <w:bidi w:val="0"/>
              <w:spacing w:before="0" w:after="283"/>
              <w:jc w:val="righ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Net sales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w:t>
            </w:r>
          </w:p>
        </w:tc>
        <w:tc>
          <w:tcPr>
            <w:tcW w:w="982" w:type="dxa"/>
            <w:tcBorders/>
            <w:vAlign w:val="center"/>
          </w:tcPr>
          <w:p>
            <w:pPr>
              <w:pStyle w:val="TableContents"/>
              <w:bidi w:val="0"/>
              <w:spacing w:before="0" w:after="283"/>
              <w:jc w:val="right"/>
              <w:rPr/>
            </w:pPr>
            <w:r>
              <w:rPr/>
              <w:t>220,923</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w:t>
            </w:r>
          </w:p>
        </w:tc>
        <w:tc>
          <w:tcPr>
            <w:tcW w:w="906" w:type="dxa"/>
            <w:tcBorders/>
            <w:vAlign w:val="center"/>
          </w:tcPr>
          <w:p>
            <w:pPr>
              <w:pStyle w:val="TableContents"/>
              <w:bidi w:val="0"/>
              <w:spacing w:before="0" w:after="283"/>
              <w:jc w:val="right"/>
              <w:rPr/>
            </w:pPr>
            <w:r>
              <w:rPr/>
              <w:t>179,291</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w:t>
            </w:r>
          </w:p>
        </w:tc>
        <w:tc>
          <w:tcPr>
            <w:tcW w:w="901" w:type="dxa"/>
            <w:tcBorders/>
            <w:vAlign w:val="center"/>
          </w:tcPr>
          <w:p>
            <w:pPr>
              <w:pStyle w:val="TableContents"/>
              <w:bidi w:val="0"/>
              <w:spacing w:before="0" w:after="283"/>
              <w:jc w:val="right"/>
              <w:rPr/>
            </w:pPr>
            <w:r>
              <w:rPr/>
              <w:t>111,007</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w:t>
            </w:r>
          </w:p>
        </w:tc>
        <w:tc>
          <w:tcPr>
            <w:tcW w:w="925" w:type="dxa"/>
            <w:tcBorders/>
            <w:vAlign w:val="center"/>
          </w:tcPr>
          <w:p>
            <w:pPr>
              <w:pStyle w:val="TableContents"/>
              <w:bidi w:val="0"/>
              <w:spacing w:before="0" w:after="283"/>
              <w:jc w:val="right"/>
              <w:rPr/>
            </w:pPr>
            <w:r>
              <w:rPr/>
              <w:t>(9,376</w:t>
            </w:r>
          </w:p>
        </w:tc>
        <w:tc>
          <w:tcPr>
            <w:tcW w:w="19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w:t>
            </w:r>
          </w:p>
        </w:tc>
        <w:tc>
          <w:tcPr>
            <w:tcW w:w="1075" w:type="dxa"/>
            <w:tcBorders/>
            <w:vAlign w:val="center"/>
          </w:tcPr>
          <w:p>
            <w:pPr>
              <w:pStyle w:val="TableContents"/>
              <w:bidi w:val="0"/>
              <w:spacing w:before="0" w:after="283"/>
              <w:jc w:val="right"/>
              <w:rPr/>
            </w:pPr>
            <w:r>
              <w:rPr/>
              <w:t>501,845</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Cost of sales</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162,056</w:t>
            </w:r>
          </w:p>
        </w:tc>
        <w:tc>
          <w:tcPr>
            <w:tcW w:w="3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121,389</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85,861</w:t>
            </w:r>
          </w:p>
        </w:tc>
        <w:tc>
          <w:tcPr>
            <w:tcW w:w="3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(8,926</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360,380</w:t>
            </w:r>
          </w:p>
        </w:tc>
        <w:tc>
          <w:tcPr>
            <w:tcW w:w="3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Gross Margin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58,867</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57,902</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25,146</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(450</w:t>
            </w:r>
          </w:p>
        </w:tc>
        <w:tc>
          <w:tcPr>
            <w:tcW w:w="19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141,465</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rStyle w:val="Emphasis"/>
              </w:rPr>
              <w:t>Gross Margin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rStyle w:val="Emphasis"/>
              </w:rPr>
              <w:t>26.6</w:t>
            </w:r>
          </w:p>
        </w:tc>
        <w:tc>
          <w:tcPr>
            <w:tcW w:w="307"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rStyle w:val="Emphasis"/>
              </w:rPr>
              <w:t>32.3</w:t>
            </w:r>
          </w:p>
        </w:tc>
        <w:tc>
          <w:tcPr>
            <w:tcW w:w="308"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rStyle w:val="Emphasis"/>
              </w:rPr>
              <w:t>22.7</w:t>
            </w:r>
          </w:p>
        </w:tc>
        <w:tc>
          <w:tcPr>
            <w:tcW w:w="306"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rStyle w:val="Emphasis"/>
              </w:rPr>
              <w:t>28.2</w:t>
            </w:r>
          </w:p>
        </w:tc>
        <w:tc>
          <w:tcPr>
            <w:tcW w:w="357" w:type="dxa"/>
            <w:tcBorders/>
            <w:vAlign w:val="center"/>
          </w:tcPr>
          <w:p>
            <w:pPr>
              <w:pStyle w:val="TableContents"/>
              <w:bidi w:val="0"/>
              <w:spacing w:before="0" w:after="283"/>
              <w:jc w:val="left"/>
              <w:rPr/>
            </w:pPr>
            <w:r>
              <w:rPr>
                <w:rStyle w:val="Emphasis"/>
              </w:rPr>
              <w:t>%</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Selling, general and administrative (1)</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33,162</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22,279</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13,143</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2,253</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70,837</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11,386</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7,213</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5,330</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209</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24,138</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Operating (loss) income</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8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14,319</w:t>
            </w:r>
          </w:p>
        </w:tc>
        <w:tc>
          <w:tcPr>
            <w:tcW w:w="3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28,410</w:t>
            </w:r>
          </w:p>
        </w:tc>
        <w:tc>
          <w:tcPr>
            <w:tcW w:w="30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6,673</w:t>
            </w:r>
          </w:p>
        </w:tc>
        <w:tc>
          <w:tcPr>
            <w:tcW w:w="3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2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(2,912</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7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46,490</w:t>
            </w:r>
          </w:p>
        </w:tc>
        <w:tc>
          <w:tcPr>
            <w:tcW w:w="3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11,386</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7,213</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5,330</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209</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24,138</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EBITDA</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25,705</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35,623</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12,003</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(2,703</w:t>
            </w:r>
          </w:p>
        </w:tc>
        <w:tc>
          <w:tcPr>
            <w:tcW w:w="19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70,628</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Expense related to plant relocation and closure (Cost of sales)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1,223</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1,223</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Reorganization and severance costs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127</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1</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766</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894</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Adjusted EBITDA</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27,055</w:t>
            </w:r>
          </w:p>
        </w:tc>
        <w:tc>
          <w:tcPr>
            <w:tcW w:w="30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35,624</w:t>
            </w:r>
          </w:p>
        </w:tc>
        <w:tc>
          <w:tcPr>
            <w:tcW w:w="30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12,003</w:t>
            </w:r>
          </w:p>
        </w:tc>
        <w:tc>
          <w:tcPr>
            <w:tcW w:w="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(1,937</w:t>
            </w:r>
          </w:p>
        </w:tc>
        <w:tc>
          <w:tcPr>
            <w:tcW w:w="1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7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72,745</w:t>
            </w:r>
          </w:p>
        </w:tc>
        <w:tc>
          <w:tcPr>
            <w:tcW w:w="3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rStyle w:val="Emphasis"/>
              </w:rPr>
              <w:t>Adjusted EBITDA Margin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rStyle w:val="Emphasis"/>
              </w:rPr>
              <w:t>12.2</w:t>
            </w:r>
          </w:p>
        </w:tc>
        <w:tc>
          <w:tcPr>
            <w:tcW w:w="307"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rStyle w:val="Emphasis"/>
              </w:rPr>
              <w:t>19.9</w:t>
            </w:r>
          </w:p>
        </w:tc>
        <w:tc>
          <w:tcPr>
            <w:tcW w:w="308"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rStyle w:val="Emphasis"/>
              </w:rPr>
              <w:t>10.8</w:t>
            </w:r>
          </w:p>
        </w:tc>
        <w:tc>
          <w:tcPr>
            <w:tcW w:w="306"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rStyle w:val="Emphasis"/>
              </w:rPr>
              <w:t>14.5</w:t>
            </w:r>
          </w:p>
        </w:tc>
        <w:tc>
          <w:tcPr>
            <w:tcW w:w="357" w:type="dxa"/>
            <w:tcBorders/>
            <w:vAlign w:val="center"/>
          </w:tcPr>
          <w:p>
            <w:pPr>
              <w:pStyle w:val="TableContents"/>
              <w:bidi w:val="0"/>
              <w:spacing w:before="0" w:after="283"/>
              <w:jc w:val="left"/>
              <w:rPr/>
            </w:pPr>
            <w:r>
              <w:rPr>
                <w:rStyle w:val="Emphasis"/>
              </w:rPr>
              <w:t>%</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1520"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45"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3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660" w:type="dxa"/>
            <w:gridSpan w:val="3"/>
            <w:tcBorders/>
            <w:vAlign w:val="center"/>
          </w:tcPr>
          <w:p>
            <w:pPr>
              <w:pStyle w:val="TableContents"/>
              <w:bidi w:val="0"/>
              <w:spacing w:before="0" w:after="283"/>
              <w:jc w:val="right"/>
              <w:rPr/>
            </w:pPr>
            <w:r>
              <w:rPr/>
              <w:t> </w:t>
            </w:r>
          </w:p>
        </w:tc>
      </w:tr>
      <w:tr>
        <w:trPr/>
        <w:tc>
          <w:tcPr>
            <w:tcW w:w="2013" w:type="dxa"/>
            <w:tcBorders/>
            <w:vAlign w:val="center"/>
          </w:tcPr>
          <w:p>
            <w:pPr>
              <w:pStyle w:val="TableContents"/>
              <w:bidi w:val="0"/>
              <w:spacing w:before="0" w:after="283"/>
              <w:jc w:val="left"/>
              <w:rPr/>
            </w:pPr>
            <w:r>
              <w:rPr>
                <w:rStyle w:val="StrongEmphasis"/>
              </w:rPr>
              <w:t>Three months ended July 31, 2025</w:t>
            </w:r>
          </w:p>
        </w:tc>
        <w:tc>
          <w:tcPr>
            <w:tcW w:w="147" w:type="dxa"/>
            <w:tcBorders/>
            <w:vAlign w:val="center"/>
          </w:tcPr>
          <w:p>
            <w:pPr>
              <w:pStyle w:val="TableContents"/>
              <w:bidi w:val="0"/>
              <w:spacing w:before="0" w:after="283"/>
              <w:jc w:val="right"/>
              <w:rPr/>
            </w:pPr>
            <w:r>
              <w:rPr/>
              <w:t> </w:t>
            </w:r>
          </w:p>
        </w:tc>
        <w:tc>
          <w:tcPr>
            <w:tcW w:w="1520"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45"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3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660" w:type="dxa"/>
            <w:gridSpan w:val="3"/>
            <w:tcBorders/>
            <w:vAlign w:val="center"/>
          </w:tcPr>
          <w:p>
            <w:pPr>
              <w:pStyle w:val="TableContents"/>
              <w:bidi w:val="0"/>
              <w:spacing w:before="0" w:after="283"/>
              <w:jc w:val="righ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Net sales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w:t>
            </w:r>
          </w:p>
        </w:tc>
        <w:tc>
          <w:tcPr>
            <w:tcW w:w="982" w:type="dxa"/>
            <w:tcBorders/>
            <w:vAlign w:val="center"/>
          </w:tcPr>
          <w:p>
            <w:pPr>
              <w:pStyle w:val="TableContents"/>
              <w:bidi w:val="0"/>
              <w:spacing w:before="0" w:after="283"/>
              <w:jc w:val="right"/>
              <w:rPr/>
            </w:pPr>
            <w:r>
              <w:rPr/>
              <w:t>227,116</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w:t>
            </w:r>
          </w:p>
        </w:tc>
        <w:tc>
          <w:tcPr>
            <w:tcW w:w="906" w:type="dxa"/>
            <w:tcBorders/>
            <w:vAlign w:val="center"/>
          </w:tcPr>
          <w:p>
            <w:pPr>
              <w:pStyle w:val="TableContents"/>
              <w:bidi w:val="0"/>
              <w:spacing w:before="0" w:after="283"/>
              <w:jc w:val="right"/>
              <w:rPr/>
            </w:pPr>
            <w:r>
              <w:rPr/>
              <w:t>174,427</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w:t>
            </w:r>
          </w:p>
        </w:tc>
        <w:tc>
          <w:tcPr>
            <w:tcW w:w="901" w:type="dxa"/>
            <w:tcBorders/>
            <w:vAlign w:val="center"/>
          </w:tcPr>
          <w:p>
            <w:pPr>
              <w:pStyle w:val="TableContents"/>
              <w:bidi w:val="0"/>
              <w:spacing w:before="0" w:after="283"/>
              <w:jc w:val="right"/>
              <w:rPr/>
            </w:pPr>
            <w:r>
              <w:rPr/>
              <w:t>102,264</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w:t>
            </w:r>
          </w:p>
        </w:tc>
        <w:tc>
          <w:tcPr>
            <w:tcW w:w="925" w:type="dxa"/>
            <w:tcBorders/>
            <w:vAlign w:val="center"/>
          </w:tcPr>
          <w:p>
            <w:pPr>
              <w:pStyle w:val="TableContents"/>
              <w:bidi w:val="0"/>
              <w:spacing w:before="0" w:after="283"/>
              <w:jc w:val="right"/>
              <w:rPr/>
            </w:pPr>
            <w:r>
              <w:rPr/>
              <w:t>(8,534</w:t>
            </w:r>
          </w:p>
        </w:tc>
        <w:tc>
          <w:tcPr>
            <w:tcW w:w="19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w:t>
            </w:r>
          </w:p>
        </w:tc>
        <w:tc>
          <w:tcPr>
            <w:tcW w:w="1075" w:type="dxa"/>
            <w:tcBorders/>
            <w:vAlign w:val="center"/>
          </w:tcPr>
          <w:p>
            <w:pPr>
              <w:pStyle w:val="TableContents"/>
              <w:bidi w:val="0"/>
              <w:spacing w:before="0" w:after="283"/>
              <w:jc w:val="right"/>
              <w:rPr/>
            </w:pPr>
            <w:r>
              <w:rPr/>
              <w:t>495,273</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Cost of sales</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170,282</w:t>
            </w:r>
          </w:p>
        </w:tc>
        <w:tc>
          <w:tcPr>
            <w:tcW w:w="3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116,597</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77,755</w:t>
            </w:r>
          </w:p>
        </w:tc>
        <w:tc>
          <w:tcPr>
            <w:tcW w:w="3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(7,329</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357,305</w:t>
            </w:r>
          </w:p>
        </w:tc>
        <w:tc>
          <w:tcPr>
            <w:tcW w:w="3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Gross Margin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56,834</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57,830</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24,509</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(1,205</w:t>
            </w:r>
          </w:p>
        </w:tc>
        <w:tc>
          <w:tcPr>
            <w:tcW w:w="19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137,968</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rStyle w:val="Emphasis"/>
              </w:rPr>
              <w:t>Gross Margin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rStyle w:val="Emphasis"/>
              </w:rPr>
              <w:t>25.0</w:t>
            </w:r>
          </w:p>
        </w:tc>
        <w:tc>
          <w:tcPr>
            <w:tcW w:w="307"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rStyle w:val="Emphasis"/>
              </w:rPr>
              <w:t>33.2</w:t>
            </w:r>
          </w:p>
        </w:tc>
        <w:tc>
          <w:tcPr>
            <w:tcW w:w="308"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rStyle w:val="Emphasis"/>
              </w:rPr>
              <w:t>24.0</w:t>
            </w:r>
          </w:p>
        </w:tc>
        <w:tc>
          <w:tcPr>
            <w:tcW w:w="306"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rStyle w:val="Emphasis"/>
              </w:rPr>
              <w:t>27.9</w:t>
            </w:r>
          </w:p>
        </w:tc>
        <w:tc>
          <w:tcPr>
            <w:tcW w:w="357" w:type="dxa"/>
            <w:tcBorders/>
            <w:vAlign w:val="center"/>
          </w:tcPr>
          <w:p>
            <w:pPr>
              <w:pStyle w:val="TableContents"/>
              <w:bidi w:val="0"/>
              <w:spacing w:before="0" w:after="283"/>
              <w:jc w:val="left"/>
              <w:rPr/>
            </w:pPr>
            <w:r>
              <w:rPr>
                <w:rStyle w:val="Emphasis"/>
              </w:rPr>
              <w:t>%</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Selling, general and administrative (1)</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32,954</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20,740</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11,708</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5,868</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71,270</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Restructuring charges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1,140</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34</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26</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167</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1,367</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16,987</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6,989</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4,716</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5,190</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33,882</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Asset impairment charges</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163,198</w:t>
            </w:r>
          </w:p>
        </w:tc>
        <w:tc>
          <w:tcPr>
            <w:tcW w:w="3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54,934</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84,152</w:t>
            </w:r>
          </w:p>
        </w:tc>
        <w:tc>
          <w:tcPr>
            <w:tcW w:w="3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302,284</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Operating income (loss)</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8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(157,445</w:t>
            </w:r>
          </w:p>
        </w:tc>
        <w:tc>
          <w:tcPr>
            <w:tcW w:w="3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(24,867</w:t>
            </w:r>
          </w:p>
        </w:tc>
        <w:tc>
          <w:tcPr>
            <w:tcW w:w="30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(76,093</w:t>
            </w:r>
          </w:p>
        </w:tc>
        <w:tc>
          <w:tcPr>
            <w:tcW w:w="3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7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2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(12,430</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7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(270,835</w:t>
            </w:r>
          </w:p>
        </w:tc>
        <w:tc>
          <w:tcPr>
            <w:tcW w:w="3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16,987</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6,989</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4,716</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5,190</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33,882</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Asset impairment charges</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163,198</w:t>
            </w:r>
          </w:p>
        </w:tc>
        <w:tc>
          <w:tcPr>
            <w:tcW w:w="3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54,934</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84,152</w:t>
            </w:r>
          </w:p>
        </w:tc>
        <w:tc>
          <w:tcPr>
            <w:tcW w:w="3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302,284</w:t>
            </w:r>
          </w:p>
        </w:tc>
        <w:tc>
          <w:tcPr>
            <w:tcW w:w="3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EBITDA</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22,740</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37,056</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12,775</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(7,240</w:t>
            </w:r>
          </w:p>
        </w:tc>
        <w:tc>
          <w:tcPr>
            <w:tcW w:w="19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65,331</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Expense related to plant relocation and closure (Cost of sales)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148</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148</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Transaction, advisory fees, reorganization costs, and product recall expenses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715</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50</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2,684</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3,449</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Restructuring charges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1,140</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34</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26</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167</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1,367</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Adjusted EBITDA</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24,743</w:t>
            </w:r>
          </w:p>
        </w:tc>
        <w:tc>
          <w:tcPr>
            <w:tcW w:w="30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37,090</w:t>
            </w:r>
          </w:p>
        </w:tc>
        <w:tc>
          <w:tcPr>
            <w:tcW w:w="30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12,851</w:t>
            </w:r>
          </w:p>
        </w:tc>
        <w:tc>
          <w:tcPr>
            <w:tcW w:w="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(4,389</w:t>
            </w:r>
          </w:p>
        </w:tc>
        <w:tc>
          <w:tcPr>
            <w:tcW w:w="1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7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70,295</w:t>
            </w:r>
          </w:p>
        </w:tc>
        <w:tc>
          <w:tcPr>
            <w:tcW w:w="3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rStyle w:val="Emphasis"/>
              </w:rPr>
              <w:t>Adjusted EBITDA Margin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rStyle w:val="Emphasis"/>
              </w:rPr>
              <w:t>10.9</w:t>
            </w:r>
          </w:p>
        </w:tc>
        <w:tc>
          <w:tcPr>
            <w:tcW w:w="307"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rStyle w:val="Emphasis"/>
              </w:rPr>
              <w:t>21.3</w:t>
            </w:r>
          </w:p>
        </w:tc>
        <w:tc>
          <w:tcPr>
            <w:tcW w:w="308"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rStyle w:val="Emphasis"/>
              </w:rPr>
              <w:t>12.6</w:t>
            </w:r>
          </w:p>
        </w:tc>
        <w:tc>
          <w:tcPr>
            <w:tcW w:w="306"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rStyle w:val="Emphasis"/>
              </w:rPr>
              <w:t>14.2</w:t>
            </w:r>
          </w:p>
        </w:tc>
        <w:tc>
          <w:tcPr>
            <w:tcW w:w="357" w:type="dxa"/>
            <w:tcBorders/>
            <w:vAlign w:val="center"/>
          </w:tcPr>
          <w:p>
            <w:pPr>
              <w:pStyle w:val="TableContents"/>
              <w:bidi w:val="0"/>
              <w:spacing w:before="0" w:after="283"/>
              <w:jc w:val="left"/>
              <w:rPr/>
            </w:pPr>
            <w:r>
              <w:rPr>
                <w:rStyle w:val="Emphasis"/>
              </w:rPr>
              <w:t>%</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1520"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45"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3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660" w:type="dxa"/>
            <w:gridSpan w:val="3"/>
            <w:tcBorders/>
            <w:vAlign w:val="center"/>
          </w:tcPr>
          <w:p>
            <w:pPr>
              <w:pStyle w:val="TableContents"/>
              <w:bidi w:val="0"/>
              <w:spacing w:before="0" w:after="283"/>
              <w:jc w:val="right"/>
              <w:rPr/>
            </w:pPr>
            <w:r>
              <w:rPr/>
              <w:t> </w:t>
            </w:r>
          </w:p>
        </w:tc>
      </w:tr>
      <w:tr>
        <w:trPr/>
        <w:tc>
          <w:tcPr>
            <w:tcW w:w="2013" w:type="dxa"/>
            <w:tcBorders/>
            <w:vAlign w:val="center"/>
          </w:tcPr>
          <w:p>
            <w:pPr>
              <w:pStyle w:val="TableContents"/>
              <w:bidi w:val="0"/>
              <w:spacing w:before="0" w:after="283"/>
              <w:jc w:val="left"/>
              <w:rPr/>
            </w:pPr>
            <w:r>
              <w:rPr>
                <w:rStyle w:val="StrongEmphasis"/>
              </w:rPr>
              <w:t>Nine months ended July 31, 2026</w:t>
            </w:r>
          </w:p>
        </w:tc>
        <w:tc>
          <w:tcPr>
            <w:tcW w:w="147" w:type="dxa"/>
            <w:tcBorders/>
            <w:vAlign w:val="center"/>
          </w:tcPr>
          <w:p>
            <w:pPr>
              <w:pStyle w:val="TableContents"/>
              <w:bidi w:val="0"/>
              <w:spacing w:before="0" w:after="283"/>
              <w:jc w:val="right"/>
              <w:rPr/>
            </w:pPr>
            <w:r>
              <w:rPr/>
              <w:t> </w:t>
            </w:r>
          </w:p>
        </w:tc>
        <w:tc>
          <w:tcPr>
            <w:tcW w:w="1520"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45"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3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660" w:type="dxa"/>
            <w:gridSpan w:val="3"/>
            <w:tcBorders/>
            <w:vAlign w:val="center"/>
          </w:tcPr>
          <w:p>
            <w:pPr>
              <w:pStyle w:val="TableContents"/>
              <w:bidi w:val="0"/>
              <w:spacing w:before="0" w:after="283"/>
              <w:jc w:val="righ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Net sales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w:t>
            </w:r>
          </w:p>
        </w:tc>
        <w:tc>
          <w:tcPr>
            <w:tcW w:w="982" w:type="dxa"/>
            <w:tcBorders/>
            <w:vAlign w:val="center"/>
          </w:tcPr>
          <w:p>
            <w:pPr>
              <w:pStyle w:val="TableContents"/>
              <w:bidi w:val="0"/>
              <w:spacing w:before="0" w:after="283"/>
              <w:jc w:val="right"/>
              <w:rPr/>
            </w:pPr>
            <w:r>
              <w:rPr/>
              <w:t>613,054</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w:t>
            </w:r>
          </w:p>
        </w:tc>
        <w:tc>
          <w:tcPr>
            <w:tcW w:w="906" w:type="dxa"/>
            <w:tcBorders/>
            <w:vAlign w:val="center"/>
          </w:tcPr>
          <w:p>
            <w:pPr>
              <w:pStyle w:val="TableContents"/>
              <w:bidi w:val="0"/>
              <w:spacing w:before="0" w:after="283"/>
              <w:jc w:val="right"/>
              <w:rPr/>
            </w:pPr>
            <w:r>
              <w:rPr/>
              <w:t>484,040</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w:t>
            </w:r>
          </w:p>
        </w:tc>
        <w:tc>
          <w:tcPr>
            <w:tcW w:w="901" w:type="dxa"/>
            <w:tcBorders/>
            <w:vAlign w:val="center"/>
          </w:tcPr>
          <w:p>
            <w:pPr>
              <w:pStyle w:val="TableContents"/>
              <w:bidi w:val="0"/>
              <w:spacing w:before="0" w:after="283"/>
              <w:jc w:val="right"/>
              <w:rPr/>
            </w:pPr>
            <w:r>
              <w:rPr/>
              <w:t>304,062</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w:t>
            </w:r>
          </w:p>
        </w:tc>
        <w:tc>
          <w:tcPr>
            <w:tcW w:w="925" w:type="dxa"/>
            <w:tcBorders/>
            <w:vAlign w:val="center"/>
          </w:tcPr>
          <w:p>
            <w:pPr>
              <w:pStyle w:val="TableContents"/>
              <w:bidi w:val="0"/>
              <w:spacing w:before="0" w:after="283"/>
              <w:jc w:val="right"/>
              <w:rPr/>
            </w:pPr>
            <w:r>
              <w:rPr/>
              <w:t>(27,855</w:t>
            </w:r>
          </w:p>
        </w:tc>
        <w:tc>
          <w:tcPr>
            <w:tcW w:w="19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w:t>
            </w:r>
          </w:p>
        </w:tc>
        <w:tc>
          <w:tcPr>
            <w:tcW w:w="1075" w:type="dxa"/>
            <w:tcBorders/>
            <w:vAlign w:val="center"/>
          </w:tcPr>
          <w:p>
            <w:pPr>
              <w:pStyle w:val="TableContents"/>
              <w:bidi w:val="0"/>
              <w:spacing w:before="0" w:after="283"/>
              <w:jc w:val="right"/>
              <w:rPr/>
            </w:pPr>
            <w:r>
              <w:rPr/>
              <w:t>1,373,301</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Cost of sales</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475,172</w:t>
            </w:r>
          </w:p>
        </w:tc>
        <w:tc>
          <w:tcPr>
            <w:tcW w:w="3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331,979</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236,302</w:t>
            </w:r>
          </w:p>
        </w:tc>
        <w:tc>
          <w:tcPr>
            <w:tcW w:w="3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(27,936</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1,015,517</w:t>
            </w:r>
          </w:p>
        </w:tc>
        <w:tc>
          <w:tcPr>
            <w:tcW w:w="3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Gross Margin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137,882</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152,061</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67,760</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81</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357,784</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rStyle w:val="Emphasis"/>
              </w:rPr>
              <w:t>Gross Margin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rStyle w:val="Emphasis"/>
              </w:rPr>
              <w:t>22.5</w:t>
            </w:r>
          </w:p>
        </w:tc>
        <w:tc>
          <w:tcPr>
            <w:tcW w:w="307"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rStyle w:val="Emphasis"/>
              </w:rPr>
              <w:t>31.4</w:t>
            </w:r>
          </w:p>
        </w:tc>
        <w:tc>
          <w:tcPr>
            <w:tcW w:w="308"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rStyle w:val="Emphasis"/>
              </w:rPr>
              <w:t>22.3</w:t>
            </w:r>
          </w:p>
        </w:tc>
        <w:tc>
          <w:tcPr>
            <w:tcW w:w="306"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rStyle w:val="Emphasis"/>
              </w:rPr>
              <w:t>26.1</w:t>
            </w:r>
          </w:p>
        </w:tc>
        <w:tc>
          <w:tcPr>
            <w:tcW w:w="357" w:type="dxa"/>
            <w:tcBorders/>
            <w:vAlign w:val="center"/>
          </w:tcPr>
          <w:p>
            <w:pPr>
              <w:pStyle w:val="TableContents"/>
              <w:bidi w:val="0"/>
              <w:spacing w:before="0" w:after="283"/>
              <w:jc w:val="left"/>
              <w:rPr/>
            </w:pPr>
            <w:r>
              <w:rPr>
                <w:rStyle w:val="Emphasis"/>
              </w:rPr>
              <w:t>%</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Selling, general and administrative (1)</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103,105</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65,084</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40,182</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8,324</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216,695</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34,626</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21,893</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15,956</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562</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73,037</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Operating (loss) income</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8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151</w:t>
            </w:r>
          </w:p>
        </w:tc>
        <w:tc>
          <w:tcPr>
            <w:tcW w:w="3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65,084</w:t>
            </w:r>
          </w:p>
        </w:tc>
        <w:tc>
          <w:tcPr>
            <w:tcW w:w="30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11,622</w:t>
            </w:r>
          </w:p>
        </w:tc>
        <w:tc>
          <w:tcPr>
            <w:tcW w:w="3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2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(8,805</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7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68,052</w:t>
            </w:r>
          </w:p>
        </w:tc>
        <w:tc>
          <w:tcPr>
            <w:tcW w:w="3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34,626</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21,893</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15,956</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562</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73,037</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EBITDA</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8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34,777</w:t>
            </w:r>
          </w:p>
        </w:tc>
        <w:tc>
          <w:tcPr>
            <w:tcW w:w="3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86,977</w:t>
            </w:r>
          </w:p>
        </w:tc>
        <w:tc>
          <w:tcPr>
            <w:tcW w:w="30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27,578</w:t>
            </w:r>
          </w:p>
        </w:tc>
        <w:tc>
          <w:tcPr>
            <w:tcW w:w="3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2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(8,243</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7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141,089</w:t>
            </w:r>
          </w:p>
        </w:tc>
        <w:tc>
          <w:tcPr>
            <w:tcW w:w="3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Expense related to plant relocation and closure (Cost of sales)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1,751</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1,751</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Credit related to plant relocation (SG&amp;A)</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(8</w:t>
            </w:r>
          </w:p>
        </w:tc>
        <w:tc>
          <w:tcPr>
            <w:tcW w:w="307"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(8</w:t>
            </w:r>
          </w:p>
        </w:tc>
        <w:tc>
          <w:tcPr>
            <w:tcW w:w="357" w:type="dxa"/>
            <w:tcBorders/>
            <w:vAlign w:val="center"/>
          </w:tcPr>
          <w:p>
            <w:pPr>
              <w:pStyle w:val="TableContents"/>
              <w:bidi w:val="0"/>
              <w:spacing w:before="0" w:after="283"/>
              <w:jc w:val="left"/>
              <w:rPr/>
            </w:pPr>
            <w:r>
              <w:rPr/>
              <w:t>)</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Reorganization and severance costs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273</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1</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1</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1,189</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1,464</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Adjusted EBITDA</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36,793</w:t>
            </w:r>
          </w:p>
        </w:tc>
        <w:tc>
          <w:tcPr>
            <w:tcW w:w="30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86,978</w:t>
            </w:r>
          </w:p>
        </w:tc>
        <w:tc>
          <w:tcPr>
            <w:tcW w:w="30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27,579</w:t>
            </w:r>
          </w:p>
        </w:tc>
        <w:tc>
          <w:tcPr>
            <w:tcW w:w="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(7,054</w:t>
            </w:r>
          </w:p>
        </w:tc>
        <w:tc>
          <w:tcPr>
            <w:tcW w:w="1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7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144,296</w:t>
            </w:r>
          </w:p>
        </w:tc>
        <w:tc>
          <w:tcPr>
            <w:tcW w:w="3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rStyle w:val="Emphasis"/>
              </w:rPr>
              <w:t>Adjusted EBITDA Margin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rStyle w:val="Emphasis"/>
              </w:rPr>
              <w:t>6.0</w:t>
            </w:r>
          </w:p>
        </w:tc>
        <w:tc>
          <w:tcPr>
            <w:tcW w:w="307"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rStyle w:val="Emphasis"/>
              </w:rPr>
              <w:t>18.0</w:t>
            </w:r>
          </w:p>
        </w:tc>
        <w:tc>
          <w:tcPr>
            <w:tcW w:w="308"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rStyle w:val="Emphasis"/>
              </w:rPr>
              <w:t>9.1</w:t>
            </w:r>
          </w:p>
        </w:tc>
        <w:tc>
          <w:tcPr>
            <w:tcW w:w="306"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rStyle w:val="Emphasis"/>
              </w:rPr>
              <w:t>10.5</w:t>
            </w:r>
          </w:p>
        </w:tc>
        <w:tc>
          <w:tcPr>
            <w:tcW w:w="357" w:type="dxa"/>
            <w:tcBorders/>
            <w:vAlign w:val="center"/>
          </w:tcPr>
          <w:p>
            <w:pPr>
              <w:pStyle w:val="TableContents"/>
              <w:bidi w:val="0"/>
              <w:spacing w:before="0" w:after="283"/>
              <w:jc w:val="left"/>
              <w:rPr/>
            </w:pPr>
            <w:r>
              <w:rPr>
                <w:rStyle w:val="Emphasis"/>
              </w:rPr>
              <w:t>%</w:t>
            </w:r>
          </w:p>
        </w:tc>
      </w:tr>
      <w:tr>
        <w:trPr/>
        <w:tc>
          <w:tcPr>
            <w:tcW w:w="201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520"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c>
          <w:tcPr>
            <w:tcW w:w="1445" w:type="dxa"/>
            <w:gridSpan w:val="3"/>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36" w:type="dxa"/>
            <w:gridSpan w:val="3"/>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396" w:type="dxa"/>
            <w:gridSpan w:val="3"/>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60" w:type="dxa"/>
            <w:gridSpan w:val="3"/>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283"/>
              <w:jc w:val="left"/>
              <w:rPr/>
            </w:pPr>
            <w:r>
              <w:rPr>
                <w:rStyle w:val="StrongEmphasis"/>
              </w:rPr>
              <w:t>Nine months ended July 31, 2025</w:t>
            </w:r>
          </w:p>
        </w:tc>
        <w:tc>
          <w:tcPr>
            <w:tcW w:w="147" w:type="dxa"/>
            <w:tcBorders/>
            <w:vAlign w:val="center"/>
          </w:tcPr>
          <w:p>
            <w:pPr>
              <w:pStyle w:val="TableContents"/>
              <w:bidi w:val="0"/>
              <w:spacing w:before="0" w:after="283"/>
              <w:jc w:val="right"/>
              <w:rPr/>
            </w:pPr>
            <w:r>
              <w:rPr/>
              <w:t> </w:t>
            </w:r>
          </w:p>
        </w:tc>
        <w:tc>
          <w:tcPr>
            <w:tcW w:w="1520"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45"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3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c>
          <w:tcPr>
            <w:tcW w:w="1660" w:type="dxa"/>
            <w:gridSpan w:val="3"/>
            <w:tcBorders/>
            <w:vAlign w:val="center"/>
          </w:tcPr>
          <w:p>
            <w:pPr>
              <w:pStyle w:val="TableContents"/>
              <w:bidi w:val="0"/>
              <w:spacing w:before="0" w:after="283"/>
              <w:jc w:val="righ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Net sales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w:t>
            </w:r>
          </w:p>
        </w:tc>
        <w:tc>
          <w:tcPr>
            <w:tcW w:w="982" w:type="dxa"/>
            <w:tcBorders/>
            <w:vAlign w:val="center"/>
          </w:tcPr>
          <w:p>
            <w:pPr>
              <w:pStyle w:val="TableContents"/>
              <w:bidi w:val="0"/>
              <w:spacing w:before="0" w:after="283"/>
              <w:jc w:val="right"/>
              <w:rPr/>
            </w:pPr>
            <w:r>
              <w:rPr/>
              <w:t>614,791</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w:t>
            </w:r>
          </w:p>
        </w:tc>
        <w:tc>
          <w:tcPr>
            <w:tcW w:w="906" w:type="dxa"/>
            <w:tcBorders/>
            <w:vAlign w:val="center"/>
          </w:tcPr>
          <w:p>
            <w:pPr>
              <w:pStyle w:val="TableContents"/>
              <w:bidi w:val="0"/>
              <w:spacing w:before="0" w:after="283"/>
              <w:jc w:val="right"/>
              <w:rPr/>
            </w:pPr>
            <w:r>
              <w:rPr/>
              <w:t>478,024</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w:t>
            </w:r>
          </w:p>
        </w:tc>
        <w:tc>
          <w:tcPr>
            <w:tcW w:w="901" w:type="dxa"/>
            <w:tcBorders/>
            <w:vAlign w:val="center"/>
          </w:tcPr>
          <w:p>
            <w:pPr>
              <w:pStyle w:val="TableContents"/>
              <w:bidi w:val="0"/>
              <w:spacing w:before="0" w:after="283"/>
              <w:jc w:val="right"/>
              <w:rPr/>
            </w:pPr>
            <w:r>
              <w:rPr/>
              <w:t>284,809</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w:t>
            </w:r>
          </w:p>
        </w:tc>
        <w:tc>
          <w:tcPr>
            <w:tcW w:w="925" w:type="dxa"/>
            <w:tcBorders/>
            <w:vAlign w:val="center"/>
          </w:tcPr>
          <w:p>
            <w:pPr>
              <w:pStyle w:val="TableContents"/>
              <w:bidi w:val="0"/>
              <w:spacing w:before="0" w:after="283"/>
              <w:jc w:val="right"/>
              <w:rPr/>
            </w:pPr>
            <w:r>
              <w:rPr/>
              <w:t>(29,829</w:t>
            </w:r>
          </w:p>
        </w:tc>
        <w:tc>
          <w:tcPr>
            <w:tcW w:w="19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w:t>
            </w:r>
          </w:p>
        </w:tc>
        <w:tc>
          <w:tcPr>
            <w:tcW w:w="1075" w:type="dxa"/>
            <w:tcBorders/>
            <w:vAlign w:val="center"/>
          </w:tcPr>
          <w:p>
            <w:pPr>
              <w:pStyle w:val="TableContents"/>
              <w:bidi w:val="0"/>
              <w:spacing w:before="0" w:after="283"/>
              <w:jc w:val="right"/>
              <w:rPr/>
            </w:pPr>
            <w:r>
              <w:rPr/>
              <w:t>1,347,795</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Cost of sales</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466,600</w:t>
            </w:r>
          </w:p>
        </w:tc>
        <w:tc>
          <w:tcPr>
            <w:tcW w:w="3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325,914</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219,755</w:t>
            </w:r>
          </w:p>
        </w:tc>
        <w:tc>
          <w:tcPr>
            <w:tcW w:w="3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(26,140</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986,129</w:t>
            </w:r>
          </w:p>
        </w:tc>
        <w:tc>
          <w:tcPr>
            <w:tcW w:w="3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Gross Margin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148,191</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152,110</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65,054</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(3,689</w:t>
            </w:r>
          </w:p>
        </w:tc>
        <w:tc>
          <w:tcPr>
            <w:tcW w:w="19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361,666</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rStyle w:val="Emphasis"/>
              </w:rPr>
              <w:t>Gross Margin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rStyle w:val="Emphasis"/>
              </w:rPr>
              <w:t>24.1</w:t>
            </w:r>
          </w:p>
        </w:tc>
        <w:tc>
          <w:tcPr>
            <w:tcW w:w="307"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rStyle w:val="Emphasis"/>
              </w:rPr>
              <w:t>31.8</w:t>
            </w:r>
          </w:p>
        </w:tc>
        <w:tc>
          <w:tcPr>
            <w:tcW w:w="308"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rStyle w:val="Emphasis"/>
              </w:rPr>
              <w:t>22.8</w:t>
            </w:r>
          </w:p>
        </w:tc>
        <w:tc>
          <w:tcPr>
            <w:tcW w:w="306"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rStyle w:val="Emphasis"/>
              </w:rPr>
              <w:t>26.8</w:t>
            </w:r>
          </w:p>
        </w:tc>
        <w:tc>
          <w:tcPr>
            <w:tcW w:w="357" w:type="dxa"/>
            <w:tcBorders/>
            <w:vAlign w:val="center"/>
          </w:tcPr>
          <w:p>
            <w:pPr>
              <w:pStyle w:val="TableContents"/>
              <w:bidi w:val="0"/>
              <w:spacing w:before="0" w:after="283"/>
              <w:jc w:val="left"/>
              <w:rPr/>
            </w:pPr>
            <w:r>
              <w:rPr>
                <w:rStyle w:val="Emphasis"/>
              </w:rPr>
              <w:t>%</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Selling, general and administrative (1)</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98,570</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60,921</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34,156</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14,606</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208,253</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Restructuring charges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8,155</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34</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26</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1,992</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10,207</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38,818</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22,066</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15,693</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1,237</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77,814</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Asset impairment charges</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163,198</w:t>
            </w:r>
          </w:p>
        </w:tc>
        <w:tc>
          <w:tcPr>
            <w:tcW w:w="3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54,934</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84,152</w:t>
            </w:r>
          </w:p>
        </w:tc>
        <w:tc>
          <w:tcPr>
            <w:tcW w:w="3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302,284</w:t>
            </w:r>
          </w:p>
        </w:tc>
        <w:tc>
          <w:tcPr>
            <w:tcW w:w="3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Operating (loss) income</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8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(160,550</w:t>
            </w:r>
          </w:p>
        </w:tc>
        <w:tc>
          <w:tcPr>
            <w:tcW w:w="3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14,155</w:t>
            </w:r>
          </w:p>
        </w:tc>
        <w:tc>
          <w:tcPr>
            <w:tcW w:w="30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(68,973</w:t>
            </w:r>
          </w:p>
        </w:tc>
        <w:tc>
          <w:tcPr>
            <w:tcW w:w="3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right"/>
              <w:rPr/>
            </w:pPr>
            <w:r>
              <w:rPr/>
              <w:t> </w:t>
            </w:r>
          </w:p>
        </w:tc>
        <w:tc>
          <w:tcPr>
            <w:tcW w:w="27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2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(21,524</w:t>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7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(236,892</w:t>
            </w:r>
          </w:p>
        </w:tc>
        <w:tc>
          <w:tcPr>
            <w:tcW w:w="35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38,818</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22,066</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15,693</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1,237</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77,814</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Asset impairment charges</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163,198</w:t>
            </w:r>
          </w:p>
        </w:tc>
        <w:tc>
          <w:tcPr>
            <w:tcW w:w="3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54,934</w:t>
            </w:r>
          </w:p>
        </w:tc>
        <w:tc>
          <w:tcPr>
            <w:tcW w:w="30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84,152</w:t>
            </w:r>
          </w:p>
        </w:tc>
        <w:tc>
          <w:tcPr>
            <w:tcW w:w="3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9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7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302,284</w:t>
            </w:r>
          </w:p>
        </w:tc>
        <w:tc>
          <w:tcPr>
            <w:tcW w:w="35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EBITDA</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41,466</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91,155</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30,872</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(20,287</w:t>
            </w:r>
          </w:p>
        </w:tc>
        <w:tc>
          <w:tcPr>
            <w:tcW w:w="192" w:type="dxa"/>
            <w:tcBorders/>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143,206</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Expense related to plant closure (Cost of sales)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1,124</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1,124</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Gain related to plant closure (SG&amp;A)</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247</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247</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Amortization of step-up for purchase price adjustments on inventory and accounts receivable</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7,276</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1,428</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302</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9,006</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Transaction and advisory fees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1,397</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177</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50</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6,558</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8,182</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Restructuring charges</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t>8,155</w:t>
            </w:r>
          </w:p>
        </w:tc>
        <w:tc>
          <w:tcPr>
            <w:tcW w:w="30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t>34</w:t>
            </w:r>
          </w:p>
        </w:tc>
        <w:tc>
          <w:tcPr>
            <w:tcW w:w="308"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t>26</w:t>
            </w:r>
          </w:p>
        </w:tc>
        <w:tc>
          <w:tcPr>
            <w:tcW w:w="30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jc w:val="right"/>
              <w:rPr/>
            </w:pPr>
            <w:r>
              <w:rPr/>
              <w:t>1,992</w:t>
            </w:r>
          </w:p>
        </w:tc>
        <w:tc>
          <w:tcPr>
            <w:tcW w:w="192"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t>10,207</w:t>
            </w:r>
          </w:p>
        </w:tc>
        <w:tc>
          <w:tcPr>
            <w:tcW w:w="357" w:type="dxa"/>
            <w:tcBorders/>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Adjusted EBITDA</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59,665</w:t>
            </w:r>
          </w:p>
        </w:tc>
        <w:tc>
          <w:tcPr>
            <w:tcW w:w="30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92,794</w:t>
            </w:r>
          </w:p>
        </w:tc>
        <w:tc>
          <w:tcPr>
            <w:tcW w:w="30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31,250</w:t>
            </w:r>
          </w:p>
        </w:tc>
        <w:tc>
          <w:tcPr>
            <w:tcW w:w="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27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(11,737</w:t>
            </w:r>
          </w:p>
        </w:tc>
        <w:tc>
          <w:tcPr>
            <w:tcW w:w="1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7" w:type="dxa"/>
            <w:tcBorders/>
            <w:vAlign w:val="center"/>
          </w:tcPr>
          <w:p>
            <w:pPr>
              <w:pStyle w:val="TableContents"/>
              <w:bidi w:val="0"/>
              <w:spacing w:before="0" w:after="283"/>
              <w:jc w:val="left"/>
              <w:rPr/>
            </w:pPr>
            <w:r>
              <w:rPr/>
              <w:t> </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7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171,972</w:t>
            </w:r>
          </w:p>
        </w:tc>
        <w:tc>
          <w:tcPr>
            <w:tcW w:w="3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rStyle w:val="Emphasis"/>
              </w:rPr>
              <w:t>Adjusted EBITDA Margin %</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82" w:type="dxa"/>
            <w:tcBorders/>
            <w:vAlign w:val="center"/>
          </w:tcPr>
          <w:p>
            <w:pPr>
              <w:pStyle w:val="TableContents"/>
              <w:bidi w:val="0"/>
              <w:spacing w:before="0" w:after="283"/>
              <w:jc w:val="right"/>
              <w:rPr/>
            </w:pPr>
            <w:r>
              <w:rPr>
                <w:rStyle w:val="Emphasis"/>
              </w:rPr>
              <w:t>9.7</w:t>
            </w:r>
          </w:p>
        </w:tc>
        <w:tc>
          <w:tcPr>
            <w:tcW w:w="307"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c>
          <w:tcPr>
            <w:tcW w:w="906" w:type="dxa"/>
            <w:tcBorders/>
            <w:vAlign w:val="center"/>
          </w:tcPr>
          <w:p>
            <w:pPr>
              <w:pStyle w:val="TableContents"/>
              <w:bidi w:val="0"/>
              <w:spacing w:before="0" w:after="283"/>
              <w:jc w:val="right"/>
              <w:rPr/>
            </w:pPr>
            <w:r>
              <w:rPr>
                <w:rStyle w:val="Emphasis"/>
              </w:rPr>
              <w:t>19.4</w:t>
            </w:r>
          </w:p>
        </w:tc>
        <w:tc>
          <w:tcPr>
            <w:tcW w:w="308"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c>
          <w:tcPr>
            <w:tcW w:w="901" w:type="dxa"/>
            <w:tcBorders/>
            <w:vAlign w:val="center"/>
          </w:tcPr>
          <w:p>
            <w:pPr>
              <w:pStyle w:val="TableContents"/>
              <w:bidi w:val="0"/>
              <w:spacing w:before="0" w:after="283"/>
              <w:jc w:val="right"/>
              <w:rPr/>
            </w:pPr>
            <w:r>
              <w:rPr>
                <w:rStyle w:val="Emphasis"/>
              </w:rPr>
              <w:t>11.0</w:t>
            </w:r>
          </w:p>
        </w:tc>
        <w:tc>
          <w:tcPr>
            <w:tcW w:w="306" w:type="dxa"/>
            <w:tcBorders/>
            <w:vAlign w:val="center"/>
          </w:tcPr>
          <w:p>
            <w:pPr>
              <w:pStyle w:val="TableContents"/>
              <w:bidi w:val="0"/>
              <w:spacing w:before="0" w:after="283"/>
              <w:jc w:val="left"/>
              <w:rPr/>
            </w:pPr>
            <w:r>
              <w:rPr>
                <w:rStyle w:val="Emphasis"/>
              </w:rPr>
              <w:t>%</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075" w:type="dxa"/>
            <w:tcBorders/>
            <w:vAlign w:val="center"/>
          </w:tcPr>
          <w:p>
            <w:pPr>
              <w:pStyle w:val="TableContents"/>
              <w:bidi w:val="0"/>
              <w:spacing w:before="0" w:after="283"/>
              <w:jc w:val="right"/>
              <w:rPr/>
            </w:pPr>
            <w:r>
              <w:rPr>
                <w:rStyle w:val="Emphasis"/>
              </w:rPr>
              <w:t>12.8</w:t>
            </w:r>
          </w:p>
        </w:tc>
        <w:tc>
          <w:tcPr>
            <w:tcW w:w="357" w:type="dxa"/>
            <w:tcBorders/>
            <w:vAlign w:val="center"/>
          </w:tcPr>
          <w:p>
            <w:pPr>
              <w:pStyle w:val="TableContents"/>
              <w:bidi w:val="0"/>
              <w:spacing w:before="0" w:after="283"/>
              <w:jc w:val="left"/>
              <w:rPr/>
            </w:pPr>
            <w:r>
              <w:rPr>
                <w:rStyle w:val="Emphasis"/>
              </w:rPr>
              <w:t>%</w:t>
            </w:r>
          </w:p>
        </w:tc>
      </w:tr>
      <w:tr>
        <w:trPr/>
        <w:tc>
          <w:tcPr>
            <w:tcW w:w="20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right"/>
              <w:rPr/>
            </w:pPr>
            <w:r>
              <w:rPr/>
              <w:t> </w:t>
            </w:r>
          </w:p>
        </w:tc>
        <w:tc>
          <w:tcPr>
            <w:tcW w:w="1520"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45"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43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660" w:type="dxa"/>
            <w:gridSpan w:val="3"/>
            <w:tcBorders/>
            <w:vAlign w:val="center"/>
          </w:tcPr>
          <w:p>
            <w:pPr>
              <w:pStyle w:val="TableContents"/>
              <w:bidi w:val="0"/>
              <w:spacing w:before="0" w:after="283"/>
              <w:jc w:val="right"/>
              <w:rPr/>
            </w:pPr>
            <w:r>
              <w:rPr/>
              <w:t> </w:t>
            </w:r>
          </w:p>
        </w:tc>
      </w:tr>
      <w:tr>
        <w:trPr/>
        <w:tc>
          <w:tcPr>
            <w:tcW w:w="10205" w:type="dxa"/>
            <w:gridSpan w:val="21"/>
            <w:tcBorders/>
            <w:vAlign w:val="center"/>
          </w:tcPr>
          <w:p>
            <w:pPr>
              <w:pStyle w:val="TableContents"/>
              <w:bidi w:val="0"/>
              <w:spacing w:before="0" w:after="283"/>
              <w:jc w:val="left"/>
              <w:rPr/>
            </w:pPr>
            <w:r>
              <w:rPr/>
              <w:t>(1) Includes stock-based compensation expense for the three and nine months ended July 31 2026 of $0.9 million and 5.5 million, respectively, and $1.8 million and $3.6 million for the comparable prior year periods.</w:t>
            </w:r>
          </w:p>
        </w:tc>
      </w:tr>
      <w:tr>
        <w:trPr/>
        <w:tc>
          <w:tcPr>
            <w:tcW w:w="201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520"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c>
          <w:tcPr>
            <w:tcW w:w="1445"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c>
          <w:tcPr>
            <w:tcW w:w="1436" w:type="dxa"/>
            <w:gridSpan w:val="3"/>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1396" w:type="dxa"/>
            <w:gridSpan w:val="3"/>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60" w:type="dxa"/>
            <w:gridSpan w:val="3"/>
            <w:tcBorders/>
            <w:vAlign w:val="center"/>
          </w:tcPr>
          <w:p>
            <w:pPr>
              <w:pStyle w:val="TableContents"/>
              <w:bidi w:val="0"/>
              <w:spacing w:before="0" w:after="283"/>
              <w:jc w:val="right"/>
              <w:rPr/>
            </w:pPr>
            <w:r>
              <w:rPr/>
              <w:t> </w:t>
            </w:r>
          </w:p>
        </w:tc>
      </w:tr>
    </w:tbl>
    <w:p>
      <w:pPr>
        <w:pStyle w:val="TextBody"/>
        <w:bidi w:val="0"/>
        <w:jc w:val="left"/>
        <w:rPr/>
      </w:pPr>
      <w:r>
        <w:rPr/>
      </w:r>
    </w:p>
    <w:tbl>
      <w:tblPr>
        <w:tblW w:w="10205" w:type="dxa"/>
        <w:jc w:val="left"/>
        <w:tblInd w:w="0" w:type="dxa"/>
        <w:tblLayout w:type="fixed"/>
        <w:tblCellMar>
          <w:top w:w="28" w:type="dxa"/>
          <w:left w:w="28" w:type="dxa"/>
          <w:bottom w:w="28" w:type="dxa"/>
          <w:right w:w="28" w:type="dxa"/>
        </w:tblCellMar>
      </w:tblPr>
      <w:tblGrid>
        <w:gridCol w:w="209"/>
        <w:gridCol w:w="2459"/>
        <w:gridCol w:w="291"/>
        <w:gridCol w:w="1143"/>
        <w:gridCol w:w="233"/>
        <w:gridCol w:w="188"/>
        <w:gridCol w:w="291"/>
        <w:gridCol w:w="1143"/>
        <w:gridCol w:w="233"/>
        <w:gridCol w:w="178"/>
        <w:gridCol w:w="276"/>
        <w:gridCol w:w="1302"/>
        <w:gridCol w:w="221"/>
        <w:gridCol w:w="178"/>
        <w:gridCol w:w="276"/>
        <w:gridCol w:w="1302"/>
        <w:gridCol w:w="282"/>
      </w:tblGrid>
      <w:tr>
        <w:trPr/>
        <w:tc>
          <w:tcPr>
            <w:tcW w:w="10205" w:type="dxa"/>
            <w:gridSpan w:val="17"/>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center"/>
              <w:rPr/>
            </w:pPr>
            <w:r>
              <w:rPr>
                <w:rStyle w:val="StrongEmphasis"/>
              </w:rPr>
              <w:t>QUANEX BUILDING PRODUCTS CORPORATION</w:t>
            </w:r>
            <w:r>
              <w:rPr/>
              <w:br/>
            </w:r>
            <w:r>
              <w:rPr>
                <w:rStyle w:val="StrongEmphasis"/>
              </w:rPr>
              <w:t>SALES ANALYSIS</w:t>
            </w:r>
            <w:r>
              <w:rPr/>
              <w:br/>
              <w:t>(In thousands)</w:t>
              <w:br/>
              <w:t>(Unaudited)</w:t>
            </w:r>
          </w:p>
        </w:tc>
      </w:tr>
      <w:tr>
        <w:trPr/>
        <w:tc>
          <w:tcPr>
            <w:tcW w:w="209"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 </w:t>
            </w:r>
          </w:p>
        </w:tc>
        <w:tc>
          <w:tcPr>
            <w:tcW w:w="1667" w:type="dxa"/>
            <w:gridSpan w:val="3"/>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667" w:type="dxa"/>
            <w:gridSpan w:val="3"/>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799" w:type="dxa"/>
            <w:gridSpan w:val="3"/>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860" w:type="dxa"/>
            <w:gridSpan w:val="3"/>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 </w:t>
            </w:r>
          </w:p>
        </w:tc>
        <w:tc>
          <w:tcPr>
            <w:tcW w:w="352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July 31,</w:t>
            </w:r>
          </w:p>
        </w:tc>
        <w:tc>
          <w:tcPr>
            <w:tcW w:w="178" w:type="dxa"/>
            <w:tcBorders/>
            <w:vAlign w:val="center"/>
          </w:tcPr>
          <w:p>
            <w:pPr>
              <w:pStyle w:val="TableContents"/>
              <w:bidi w:val="0"/>
              <w:spacing w:before="0" w:after="283"/>
              <w:jc w:val="right"/>
              <w:rPr/>
            </w:pPr>
            <w:r>
              <w:rPr/>
              <w:t> </w:t>
            </w:r>
          </w:p>
        </w:tc>
        <w:tc>
          <w:tcPr>
            <w:tcW w:w="383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July 31,</w:t>
            </w:r>
          </w:p>
        </w:tc>
      </w:tr>
      <w:tr>
        <w:trPr/>
        <w:tc>
          <w:tcPr>
            <w:tcW w:w="209"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 </w:t>
            </w:r>
          </w:p>
        </w:tc>
        <w:tc>
          <w:tcPr>
            <w:tcW w:w="1667"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8" w:type="dxa"/>
            <w:tcBorders/>
            <w:vAlign w:val="center"/>
          </w:tcPr>
          <w:p>
            <w:pPr>
              <w:pStyle w:val="TableContents"/>
              <w:bidi w:val="0"/>
              <w:spacing w:before="0" w:after="283"/>
              <w:jc w:val="right"/>
              <w:rPr/>
            </w:pPr>
            <w:r>
              <w:rPr/>
              <w:t> </w:t>
            </w:r>
          </w:p>
        </w:tc>
        <w:tc>
          <w:tcPr>
            <w:tcW w:w="1667"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78" w:type="dxa"/>
            <w:tcBorders/>
            <w:vAlign w:val="center"/>
          </w:tcPr>
          <w:p>
            <w:pPr>
              <w:pStyle w:val="TableContents"/>
              <w:bidi w:val="0"/>
              <w:spacing w:before="0" w:after="283"/>
              <w:jc w:val="right"/>
              <w:rPr/>
            </w:pPr>
            <w:r>
              <w:rPr/>
              <w:t> </w:t>
            </w:r>
          </w:p>
        </w:tc>
        <w:tc>
          <w:tcPr>
            <w:tcW w:w="1799"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78" w:type="dxa"/>
            <w:tcBorders/>
            <w:vAlign w:val="center"/>
          </w:tcPr>
          <w:p>
            <w:pPr>
              <w:pStyle w:val="TableContents"/>
              <w:bidi w:val="0"/>
              <w:spacing w:before="0" w:after="283"/>
              <w:jc w:val="center"/>
              <w:rPr/>
            </w:pPr>
            <w:r>
              <w:rPr/>
              <w:t> </w:t>
            </w:r>
          </w:p>
        </w:tc>
        <w:tc>
          <w:tcPr>
            <w:tcW w:w="186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r>
      <w:tr>
        <w:trPr/>
        <w:tc>
          <w:tcPr>
            <w:tcW w:w="209"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 </w:t>
            </w:r>
          </w:p>
        </w:tc>
        <w:tc>
          <w:tcPr>
            <w:tcW w:w="1667" w:type="dxa"/>
            <w:gridSpan w:val="3"/>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667" w:type="dxa"/>
            <w:gridSpan w:val="3"/>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799" w:type="dxa"/>
            <w:gridSpan w:val="3"/>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860" w:type="dxa"/>
            <w:gridSpan w:val="3"/>
            <w:tcBorders/>
            <w:vAlign w:val="center"/>
          </w:tcPr>
          <w:p>
            <w:pPr>
              <w:pStyle w:val="TableContents"/>
              <w:bidi w:val="0"/>
              <w:spacing w:before="0" w:after="283"/>
              <w:jc w:val="left"/>
              <w:rPr/>
            </w:pPr>
            <w:r>
              <w:rPr/>
              <w:t> </w:t>
            </w:r>
          </w:p>
        </w:tc>
      </w:tr>
      <w:tr>
        <w:trPr/>
        <w:tc>
          <w:tcPr>
            <w:tcW w:w="2668" w:type="dxa"/>
            <w:gridSpan w:val="2"/>
            <w:tcBorders/>
            <w:vAlign w:val="center"/>
          </w:tcPr>
          <w:p>
            <w:pPr>
              <w:pStyle w:val="TableContents"/>
              <w:bidi w:val="0"/>
              <w:spacing w:before="0" w:after="283"/>
              <w:jc w:val="left"/>
              <w:rPr/>
            </w:pPr>
            <w:r>
              <w:rPr>
                <w:rStyle w:val="StrongEmphasis"/>
              </w:rPr>
              <w:t>Hardware Solutions:(1)</w:t>
            </w:r>
          </w:p>
        </w:tc>
        <w:tc>
          <w:tcPr>
            <w:tcW w:w="1667" w:type="dxa"/>
            <w:gridSpan w:val="3"/>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667" w:type="dxa"/>
            <w:gridSpan w:val="3"/>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1799"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Window and door hardware</w:t>
            </w:r>
          </w:p>
        </w:tc>
        <w:tc>
          <w:tcPr>
            <w:tcW w:w="291"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133,038</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148,303</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387,047</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405,497</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Screens</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85,830</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76,809</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219,980</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203,269</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Other</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2,055</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2,004</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6,027</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6,025</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right"/>
              <w:rPr/>
            </w:pPr>
            <w:r>
              <w:rPr/>
              <w:t> </w:t>
            </w:r>
          </w:p>
        </w:tc>
        <w:tc>
          <w:tcPr>
            <w:tcW w:w="29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14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220,923</w:t>
            </w:r>
          </w:p>
        </w:tc>
        <w:tc>
          <w:tcPr>
            <w:tcW w:w="23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14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227,116</w:t>
            </w:r>
          </w:p>
        </w:tc>
        <w:tc>
          <w:tcPr>
            <w:tcW w:w="23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613,054</w:t>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614,791</w:t>
            </w:r>
          </w:p>
        </w:tc>
        <w:tc>
          <w:tcPr>
            <w:tcW w:w="2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668" w:type="dxa"/>
            <w:gridSpan w:val="2"/>
            <w:tcBorders/>
            <w:vAlign w:val="center"/>
          </w:tcPr>
          <w:p>
            <w:pPr>
              <w:pStyle w:val="TableContents"/>
              <w:bidi w:val="0"/>
              <w:spacing w:before="0" w:after="283"/>
              <w:jc w:val="left"/>
              <w:rPr/>
            </w:pPr>
            <w:r>
              <w:rPr>
                <w:rStyle w:val="StrongEmphasis"/>
              </w:rPr>
              <w:t>Extruded Solutions:(2)</w:t>
            </w:r>
          </w:p>
        </w:tc>
        <w:tc>
          <w:tcPr>
            <w:tcW w:w="1667" w:type="dxa"/>
            <w:gridSpan w:val="3"/>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667"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799"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Window profiles</w:t>
            </w:r>
          </w:p>
        </w:tc>
        <w:tc>
          <w:tcPr>
            <w:tcW w:w="291"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75,684</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76,775</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206,581</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206,629</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Seals and gaskets</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20,241</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20,415</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57,405</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57,857</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Spacers</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59,996</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55,201</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160,124</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148,733</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Solar</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5,375</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5,250</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15,292</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17,835</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Flashing Tape</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2,821</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3,038</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7,567</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6,751</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Window and door hardware</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10,079</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10,676</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26,061</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31,311</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Other</w:t>
            </w:r>
          </w:p>
        </w:tc>
        <w:tc>
          <w:tcPr>
            <w:tcW w:w="2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5,095</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3,072</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11,010</w:t>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8,908</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179,291</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174,427</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484,040</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478,024</w:t>
            </w:r>
          </w:p>
        </w:tc>
        <w:tc>
          <w:tcPr>
            <w:tcW w:w="282" w:type="dxa"/>
            <w:tcBorders/>
            <w:vAlign w:val="center"/>
          </w:tcPr>
          <w:p>
            <w:pPr>
              <w:pStyle w:val="TableContents"/>
              <w:bidi w:val="0"/>
              <w:spacing w:before="0" w:after="283"/>
              <w:jc w:val="left"/>
              <w:rPr/>
            </w:pPr>
            <w:r>
              <w:rPr/>
              <w:t> </w:t>
            </w:r>
          </w:p>
        </w:tc>
      </w:tr>
      <w:tr>
        <w:trPr/>
        <w:tc>
          <w:tcPr>
            <w:tcW w:w="2668" w:type="dxa"/>
            <w:gridSpan w:val="2"/>
            <w:tcBorders/>
            <w:vAlign w:val="center"/>
          </w:tcPr>
          <w:p>
            <w:pPr>
              <w:pStyle w:val="TableContents"/>
              <w:bidi w:val="0"/>
              <w:spacing w:before="0" w:after="283"/>
              <w:jc w:val="left"/>
              <w:rPr/>
            </w:pPr>
            <w:r>
              <w:rPr>
                <w:rStyle w:val="StrongEmphasis"/>
              </w:rPr>
              <w:t>Custom Solutions:(3)</w:t>
            </w:r>
          </w:p>
        </w:tc>
        <w:tc>
          <w:tcPr>
            <w:tcW w:w="1667" w:type="dxa"/>
            <w:gridSpan w:val="3"/>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667"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799"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Wood solutions</w:t>
            </w:r>
          </w:p>
        </w:tc>
        <w:tc>
          <w:tcPr>
            <w:tcW w:w="291"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59,282</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53,409</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162,841</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148,456</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Access solutions</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29,483</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27,370</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78,984</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74,158</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left"/>
              <w:rPr/>
            </w:pPr>
            <w:r>
              <w:rPr/>
              <w:t>Mixing solutions</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22,242</w:t>
            </w:r>
          </w:p>
        </w:tc>
        <w:tc>
          <w:tcPr>
            <w:tcW w:w="233"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c>
          <w:tcPr>
            <w:tcW w:w="1143" w:type="dxa"/>
            <w:tcBorders/>
            <w:vAlign w:val="center"/>
          </w:tcPr>
          <w:p>
            <w:pPr>
              <w:pStyle w:val="TableContents"/>
              <w:bidi w:val="0"/>
              <w:spacing w:before="0" w:after="283"/>
              <w:jc w:val="right"/>
              <w:rPr/>
            </w:pPr>
            <w:r>
              <w:rPr/>
              <w:t>21,485</w:t>
            </w:r>
          </w:p>
        </w:tc>
        <w:tc>
          <w:tcPr>
            <w:tcW w:w="23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62,237</w:t>
            </w:r>
          </w:p>
        </w:tc>
        <w:tc>
          <w:tcPr>
            <w:tcW w:w="221"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 </w:t>
            </w:r>
          </w:p>
        </w:tc>
        <w:tc>
          <w:tcPr>
            <w:tcW w:w="1302" w:type="dxa"/>
            <w:tcBorders/>
            <w:vAlign w:val="center"/>
          </w:tcPr>
          <w:p>
            <w:pPr>
              <w:pStyle w:val="TableContents"/>
              <w:bidi w:val="0"/>
              <w:spacing w:before="0" w:after="283"/>
              <w:jc w:val="right"/>
              <w:rPr/>
            </w:pPr>
            <w:r>
              <w:rPr/>
              <w:t>62,195</w:t>
            </w:r>
          </w:p>
        </w:tc>
        <w:tc>
          <w:tcPr>
            <w:tcW w:w="282"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 </w:t>
            </w:r>
          </w:p>
        </w:tc>
        <w:tc>
          <w:tcPr>
            <w:tcW w:w="29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14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111,007</w:t>
            </w:r>
          </w:p>
        </w:tc>
        <w:tc>
          <w:tcPr>
            <w:tcW w:w="23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29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14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102,264</w:t>
            </w:r>
          </w:p>
        </w:tc>
        <w:tc>
          <w:tcPr>
            <w:tcW w:w="23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304,062</w:t>
            </w:r>
          </w:p>
        </w:tc>
        <w:tc>
          <w:tcPr>
            <w:tcW w:w="22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284,809</w:t>
            </w:r>
          </w:p>
        </w:tc>
        <w:tc>
          <w:tcPr>
            <w:tcW w:w="2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 </w:t>
            </w:r>
          </w:p>
        </w:tc>
        <w:tc>
          <w:tcPr>
            <w:tcW w:w="1667" w:type="dxa"/>
            <w:gridSpan w:val="3"/>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left"/>
              <w:rPr/>
            </w:pPr>
            <w:r>
              <w:rPr/>
              <w:t> </w:t>
            </w:r>
          </w:p>
        </w:tc>
        <w:tc>
          <w:tcPr>
            <w:tcW w:w="1667"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799"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2668" w:type="dxa"/>
            <w:gridSpan w:val="2"/>
            <w:tcBorders/>
            <w:vAlign w:val="center"/>
          </w:tcPr>
          <w:p>
            <w:pPr>
              <w:pStyle w:val="TableContents"/>
              <w:bidi w:val="0"/>
              <w:spacing w:before="0" w:after="283"/>
              <w:jc w:val="left"/>
              <w:rPr/>
            </w:pPr>
            <w:r>
              <w:rPr>
                <w:rStyle w:val="StrongEmphasis"/>
              </w:rPr>
              <w:t>Unallocated Corporate &amp; Other:</w:t>
            </w:r>
          </w:p>
        </w:tc>
        <w:tc>
          <w:tcPr>
            <w:tcW w:w="1667" w:type="dxa"/>
            <w:gridSpan w:val="3"/>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667"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799"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209"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Eliminations</w:t>
            </w:r>
          </w:p>
        </w:tc>
        <w:tc>
          <w:tcPr>
            <w:tcW w:w="2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(9,376</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right"/>
              <w:rPr/>
            </w:pPr>
            <w:r>
              <w:rPr/>
              <w:t> </w:t>
            </w:r>
          </w:p>
        </w:tc>
        <w:tc>
          <w:tcPr>
            <w:tcW w:w="2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4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(8,534</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right"/>
              <w:rPr/>
            </w:pPr>
            <w:r>
              <w:rPr/>
              <w:t> </w:t>
            </w:r>
          </w:p>
        </w:tc>
        <w:tc>
          <w:tcPr>
            <w:tcW w:w="27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(27,855</w:t>
            </w:r>
          </w:p>
        </w:tc>
        <w:tc>
          <w:tcPr>
            <w:tcW w:w="2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right"/>
              <w:rPr/>
            </w:pPr>
            <w:r>
              <w:rPr/>
              <w:t> </w:t>
            </w:r>
          </w:p>
        </w:tc>
        <w:tc>
          <w:tcPr>
            <w:tcW w:w="27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(29,829</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09"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(9,376</w:t>
            </w:r>
          </w:p>
        </w:tc>
        <w:tc>
          <w:tcPr>
            <w:tcW w:w="233" w:type="dxa"/>
            <w:tcBorders/>
            <w:vAlign w:val="center"/>
          </w:tcPr>
          <w:p>
            <w:pPr>
              <w:pStyle w:val="TableContents"/>
              <w:bidi w:val="0"/>
              <w:spacing w:before="0" w:after="283"/>
              <w:jc w:val="left"/>
              <w:rPr/>
            </w:pPr>
            <w:r>
              <w:rPr/>
              <w:t>)</w:t>
            </w:r>
          </w:p>
        </w:tc>
        <w:tc>
          <w:tcPr>
            <w:tcW w:w="188"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right"/>
              <w:rPr/>
            </w:pPr>
            <w:r>
              <w:rPr/>
              <w:t>$</w:t>
            </w:r>
          </w:p>
        </w:tc>
        <w:tc>
          <w:tcPr>
            <w:tcW w:w="1143" w:type="dxa"/>
            <w:tcBorders/>
            <w:vAlign w:val="center"/>
          </w:tcPr>
          <w:p>
            <w:pPr>
              <w:pStyle w:val="TableContents"/>
              <w:bidi w:val="0"/>
              <w:spacing w:before="0" w:after="283"/>
              <w:jc w:val="right"/>
              <w:rPr/>
            </w:pPr>
            <w:r>
              <w:rPr/>
              <w:t>(8,534</w:t>
            </w:r>
          </w:p>
        </w:tc>
        <w:tc>
          <w:tcPr>
            <w:tcW w:w="233"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(27,855</w:t>
            </w:r>
          </w:p>
        </w:tc>
        <w:tc>
          <w:tcPr>
            <w:tcW w:w="221" w:type="dxa"/>
            <w:tcBorders/>
            <w:vAlign w:val="center"/>
          </w:tcPr>
          <w:p>
            <w:pPr>
              <w:pStyle w:val="TableContents"/>
              <w:bidi w:val="0"/>
              <w:spacing w:before="0" w:after="283"/>
              <w:jc w:val="left"/>
              <w:rPr/>
            </w:pPr>
            <w:r>
              <w:rPr/>
              <w:t>)</w:t>
            </w:r>
          </w:p>
        </w:tc>
        <w:tc>
          <w:tcPr>
            <w:tcW w:w="178" w:type="dxa"/>
            <w:tcBorders/>
            <w:vAlign w:val="center"/>
          </w:tcPr>
          <w:p>
            <w:pPr>
              <w:pStyle w:val="TableContents"/>
              <w:bidi w:val="0"/>
              <w:spacing w:before="0" w:after="283"/>
              <w:jc w:val="right"/>
              <w:rPr/>
            </w:pPr>
            <w:r>
              <w:rPr/>
              <w:t> </w:t>
            </w:r>
          </w:p>
        </w:tc>
        <w:tc>
          <w:tcPr>
            <w:tcW w:w="276" w:type="dxa"/>
            <w:tcBorders/>
            <w:vAlign w:val="center"/>
          </w:tcPr>
          <w:p>
            <w:pPr>
              <w:pStyle w:val="TableContents"/>
              <w:bidi w:val="0"/>
              <w:spacing w:before="0" w:after="283"/>
              <w:jc w:val="right"/>
              <w:rPr/>
            </w:pPr>
            <w:r>
              <w:rPr/>
              <w:t>$</w:t>
            </w:r>
          </w:p>
        </w:tc>
        <w:tc>
          <w:tcPr>
            <w:tcW w:w="1302" w:type="dxa"/>
            <w:tcBorders/>
            <w:vAlign w:val="center"/>
          </w:tcPr>
          <w:p>
            <w:pPr>
              <w:pStyle w:val="TableContents"/>
              <w:bidi w:val="0"/>
              <w:spacing w:before="0" w:after="283"/>
              <w:jc w:val="right"/>
              <w:rPr/>
            </w:pPr>
            <w:r>
              <w:rPr/>
              <w:t>(29,829</w:t>
            </w:r>
          </w:p>
        </w:tc>
        <w:tc>
          <w:tcPr>
            <w:tcW w:w="282" w:type="dxa"/>
            <w:tcBorders/>
            <w:vAlign w:val="center"/>
          </w:tcPr>
          <w:p>
            <w:pPr>
              <w:pStyle w:val="TableContents"/>
              <w:bidi w:val="0"/>
              <w:spacing w:before="0" w:after="283"/>
              <w:jc w:val="left"/>
              <w:rPr/>
            </w:pPr>
            <w:r>
              <w:rPr/>
              <w:t>)</w:t>
            </w:r>
          </w:p>
        </w:tc>
      </w:tr>
      <w:tr>
        <w:trPr/>
        <w:tc>
          <w:tcPr>
            <w:tcW w:w="209"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 </w:t>
            </w:r>
          </w:p>
        </w:tc>
        <w:tc>
          <w:tcPr>
            <w:tcW w:w="1667" w:type="dxa"/>
            <w:gridSpan w:val="3"/>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667"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799"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2668" w:type="dxa"/>
            <w:gridSpan w:val="2"/>
            <w:tcBorders/>
            <w:vAlign w:val="center"/>
          </w:tcPr>
          <w:p>
            <w:pPr>
              <w:pStyle w:val="TableContents"/>
              <w:bidi w:val="0"/>
              <w:spacing w:before="0" w:after="283"/>
              <w:jc w:val="left"/>
              <w:rPr/>
            </w:pPr>
            <w:r>
              <w:rPr>
                <w:rStyle w:val="StrongEmphasis"/>
              </w:rPr>
              <w:t>Net Sales</w:t>
            </w:r>
          </w:p>
        </w:tc>
        <w:tc>
          <w:tcPr>
            <w:tcW w:w="2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501,845</w:t>
            </w:r>
          </w:p>
        </w:tc>
        <w:tc>
          <w:tcPr>
            <w:tcW w:w="2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2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495,273</w:t>
            </w:r>
          </w:p>
        </w:tc>
        <w:tc>
          <w:tcPr>
            <w:tcW w:w="2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1,373,301</w:t>
            </w:r>
          </w:p>
        </w:tc>
        <w:tc>
          <w:tcPr>
            <w:tcW w:w="22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right"/>
              <w:rPr/>
            </w:pPr>
            <w:r>
              <w:rPr/>
              <w:t> </w:t>
            </w:r>
          </w:p>
        </w:tc>
        <w:tc>
          <w:tcPr>
            <w:tcW w:w="27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1,347,795</w:t>
            </w:r>
          </w:p>
        </w:tc>
        <w:tc>
          <w:tcPr>
            <w:tcW w:w="2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right"/>
              <w:rPr/>
            </w:pPr>
            <w:r>
              <w:rPr/>
              <w:t> </w:t>
            </w:r>
          </w:p>
        </w:tc>
        <w:tc>
          <w:tcPr>
            <w:tcW w:w="2459" w:type="dxa"/>
            <w:tcBorders/>
            <w:vAlign w:val="center"/>
          </w:tcPr>
          <w:p>
            <w:pPr>
              <w:pStyle w:val="TableContents"/>
              <w:bidi w:val="0"/>
              <w:spacing w:before="0" w:after="283"/>
              <w:jc w:val="right"/>
              <w:rPr/>
            </w:pPr>
            <w:r>
              <w:rPr/>
              <w:t> </w:t>
            </w:r>
          </w:p>
        </w:tc>
        <w:tc>
          <w:tcPr>
            <w:tcW w:w="1667" w:type="dxa"/>
            <w:gridSpan w:val="3"/>
            <w:tcBorders/>
            <w:vAlign w:val="center"/>
          </w:tcPr>
          <w:p>
            <w:pPr>
              <w:pStyle w:val="TableContents"/>
              <w:bidi w:val="0"/>
              <w:spacing w:before="0" w:after="283"/>
              <w:jc w:val="right"/>
              <w:rPr/>
            </w:pPr>
            <w:r>
              <w:rPr/>
              <w:t> </w:t>
            </w:r>
          </w:p>
        </w:tc>
        <w:tc>
          <w:tcPr>
            <w:tcW w:w="188" w:type="dxa"/>
            <w:tcBorders/>
            <w:vAlign w:val="center"/>
          </w:tcPr>
          <w:p>
            <w:pPr>
              <w:pStyle w:val="TableContents"/>
              <w:bidi w:val="0"/>
              <w:spacing w:before="0" w:after="283"/>
              <w:jc w:val="right"/>
              <w:rPr/>
            </w:pPr>
            <w:r>
              <w:rPr/>
              <w:t> </w:t>
            </w:r>
          </w:p>
        </w:tc>
        <w:tc>
          <w:tcPr>
            <w:tcW w:w="1667"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799" w:type="dxa"/>
            <w:gridSpan w:val="3"/>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right"/>
              <w:rPr/>
            </w:pPr>
            <w:r>
              <w:rPr/>
              <w:t> </w:t>
            </w:r>
          </w:p>
        </w:tc>
        <w:tc>
          <w:tcPr>
            <w:tcW w:w="1860" w:type="dxa"/>
            <w:gridSpan w:val="3"/>
            <w:tcBorders/>
            <w:vAlign w:val="center"/>
          </w:tcPr>
          <w:p>
            <w:pPr>
              <w:pStyle w:val="TableContents"/>
              <w:bidi w:val="0"/>
              <w:spacing w:before="0" w:after="283"/>
              <w:jc w:val="right"/>
              <w:rPr/>
            </w:pPr>
            <w:r>
              <w:rPr/>
              <w:t> </w:t>
            </w:r>
          </w:p>
        </w:tc>
      </w:tr>
      <w:tr>
        <w:trPr/>
        <w:tc>
          <w:tcPr>
            <w:tcW w:w="10205" w:type="dxa"/>
            <w:gridSpan w:val="17"/>
            <w:tcBorders/>
            <w:vAlign w:val="center"/>
          </w:tcPr>
          <w:p>
            <w:pPr>
              <w:pStyle w:val="TableContents"/>
              <w:bidi w:val="0"/>
              <w:spacing w:before="0" w:after="283"/>
              <w:jc w:val="left"/>
              <w:rPr/>
            </w:pPr>
            <w:r>
              <w:rPr/>
              <w:t>(1) Reflects an unfavorable $0.2 million and favorable $6.5 million impact on revenue associated with foreign currency exchange rate impacts for the three and nine months ended July 31, 2026, respectively.</w:t>
            </w:r>
          </w:p>
        </w:tc>
      </w:tr>
      <w:tr>
        <w:trPr/>
        <w:tc>
          <w:tcPr>
            <w:tcW w:w="10205" w:type="dxa"/>
            <w:gridSpan w:val="17"/>
            <w:tcBorders/>
            <w:vAlign w:val="center"/>
          </w:tcPr>
          <w:p>
            <w:pPr>
              <w:pStyle w:val="TableContents"/>
              <w:bidi w:val="0"/>
              <w:spacing w:before="0" w:after="283"/>
              <w:jc w:val="left"/>
              <w:rPr/>
            </w:pPr>
            <w:r>
              <w:rPr/>
              <w:t>(2) Reflects an unfavorable $0.1 million and favorable $8.3 million impact on revenue associated with foreign currency exchange rate impacts for the three and nine months ended July 31, 2026, respectively.</w:t>
            </w:r>
          </w:p>
        </w:tc>
      </w:tr>
      <w:tr>
        <w:trPr/>
        <w:tc>
          <w:tcPr>
            <w:tcW w:w="10205" w:type="dxa"/>
            <w:gridSpan w:val="17"/>
            <w:tcBorders/>
            <w:vAlign w:val="center"/>
          </w:tcPr>
          <w:p>
            <w:pPr>
              <w:pStyle w:val="TableContents"/>
              <w:bidi w:val="0"/>
              <w:spacing w:before="0" w:after="283"/>
              <w:jc w:val="left"/>
              <w:rPr/>
            </w:pPr>
            <w:r>
              <w:rPr/>
              <w:t>(3) Reflects no impact and favorable $0.3 million impact on revenue associated with foreign currency exchange rate impacts for the three and nine months ended July 31, 2026, respectively.</w:t>
            </w:r>
          </w:p>
        </w:tc>
      </w:tr>
      <w:tr>
        <w:trPr/>
        <w:tc>
          <w:tcPr>
            <w:tcW w:w="10205" w:type="dxa"/>
            <w:gridSpan w:val="17"/>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4703</Words>
  <Characters>25979</Characters>
  <CharactersWithSpaces>31987</CharactersWithSpaces>
  <Paragraphs>4634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