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182880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7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8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4, 2026</w:t>
      </w:r>
    </w:p>
    <w:p>
      <w:pPr>
        <w:spacing w:after="0" w:line="20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18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2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color w:val="auto"/>
        </w:rPr>
        <w:t>_______________________________</w:t>
      </w:r>
    </w:p>
    <w:p>
      <w:pPr>
        <w:sectPr>
          <w:pgSz w:w="11900" w:h="16838" w:orient="portrait"/>
          <w:cols w:equalWidth="0" w:num="1">
            <w:col w:w="11240"/>
          </w:cols>
          <w:pgMar w:left="320" w:top="471" w:right="339" w:bottom="1440" w:gutter="0" w:footer="0" w:header="0"/>
        </w:sectPr>
      </w:pPr>
    </w:p>
    <w:p>
      <w:pPr>
        <w:spacing w:after="0" w:line="19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001-33913</w:t>
      </w:r>
    </w:p>
    <w:p>
      <w:pPr>
        <w:spacing w:after="0" w:line="34"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26-1561397</w:t>
      </w:r>
    </w:p>
    <w:p>
      <w:pPr>
        <w:spacing w:after="0" w:line="3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88" w:lineRule="exact"/>
        <w:rPr>
          <w:sz w:val="24"/>
          <w:szCs w:val="24"/>
          <w:color w:val="auto"/>
        </w:rPr>
      </w:pPr>
    </w:p>
    <w:p>
      <w:pPr>
        <w:sectPr>
          <w:pgSz w:w="11900" w:h="16838" w:orient="portrait"/>
          <w:cols w:equalWidth="0" w:num="3">
            <w:col w:w="4000" w:space="720"/>
            <w:col w:w="2760" w:space="720"/>
            <w:col w:w="3040"/>
          </w:cols>
          <w:pgMar w:left="320" w:top="47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945 Bunker Hill Road, Suite 900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Texas 77024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(713) 961-4600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color w:val="auto"/>
        </w:rPr>
        <w:t>_______________________________</w:t>
      </w:r>
    </w:p>
    <w:p>
      <w:pPr>
        <w:sectPr>
          <w:pgSz w:w="11900" w:h="16838" w:orient="portrait"/>
          <w:cols w:equalWidth="0" w:num="1">
            <w:col w:w="11240"/>
          </w:cols>
          <w:pgMar w:left="320" w:top="471" w:right="339"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0" w:lineRule="exact"/>
        <w:rPr>
          <w:rFonts w:ascii="MS PGothic" w:cs="MS PGothic" w:eastAsia="MS PGothic" w:hAnsi="MS PGothic"/>
          <w:sz w:val="16"/>
          <w:szCs w:val="16"/>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 w:lineRule="exact"/>
        <w:rPr>
          <w:rFonts w:ascii="MS PGothic" w:cs="MS PGothic" w:eastAsia="MS PGothic" w:hAnsi="MS PGothic"/>
          <w:sz w:val="16"/>
          <w:szCs w:val="16"/>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 w:lineRule="exact"/>
        <w:rPr>
          <w:rFonts w:ascii="MS PGothic" w:cs="MS PGothic" w:eastAsia="MS PGothic" w:hAnsi="MS PGothic"/>
          <w:sz w:val="16"/>
          <w:szCs w:val="16"/>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6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94"/>
        </w:trPr>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6"/>
        </w:trPr>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NX</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65" w:lineRule="exact"/>
        <w:rPr>
          <w:sz w:val="24"/>
          <w:szCs w:val="24"/>
          <w:color w:val="auto"/>
        </w:rPr>
      </w:pPr>
    </w:p>
    <w:p>
      <w:pPr>
        <w:ind w:right="40"/>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7" w:lineRule="exact"/>
        <w:rPr>
          <w:sz w:val="24"/>
          <w:szCs w:val="24"/>
          <w:color w:val="auto"/>
        </w:rPr>
      </w:pPr>
    </w:p>
    <w:p>
      <w:pPr>
        <w:ind w:right="460"/>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7144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3873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4, 2026, the Registrant issued a press release, a copy of which is attached hereto as Exhibit 99.1 and is incorporated herein by reference.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1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June 4, 2026</w:t>
      </w:r>
    </w:p>
    <w:p>
      <w:pPr>
        <w:spacing w:after="0" w:line="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144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38735"/>
                    </a:xfrm>
                    <a:prstGeom prst="rect">
                      <a:avLst/>
                    </a:prstGeom>
                    <a:noFill/>
                  </pic:spPr>
                </pic:pic>
              </a:graphicData>
            </a:graphic>
          </wp:anchor>
        </w:drawing>
      </w:r>
    </w:p>
    <w:p>
      <w:pPr>
        <w:sectPr>
          <w:pgSz w:w="11900" w:h="16838" w:orient="portrait"/>
          <w:cols w:equalWidth="0" w:num="1">
            <w:col w:w="10139"/>
          </w:cols>
          <w:pgMar w:left="320" w:top="340" w:right="144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3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spacing w:after="0"/>
              <w:rPr>
                <w:sz w:val="18"/>
                <w:szCs w:val="18"/>
                <w:color w:val="auto"/>
              </w:rPr>
            </w:pPr>
          </w:p>
        </w:tc>
        <w:tc>
          <w:tcPr>
            <w:tcW w:w="4900" w:type="dxa"/>
            <w:vAlign w:val="bottom"/>
            <w:gridSpan w:val="3"/>
          </w:tcPr>
          <w:p>
            <w:pPr>
              <w:ind w:left="2140"/>
              <w:spacing w:after="0"/>
              <w:rPr>
                <w:sz w:val="20"/>
                <w:szCs w:val="20"/>
                <w:color w:val="auto"/>
              </w:rPr>
            </w:pPr>
            <w:r>
              <w:rPr>
                <w:rFonts w:ascii="Times New Roman" w:cs="Times New Roman" w:eastAsia="Times New Roman" w:hAnsi="Times New Roman"/>
                <w:sz w:val="16"/>
                <w:szCs w:val="16"/>
                <w:b w:val="1"/>
                <w:bCs w:val="1"/>
                <w:color w:val="auto"/>
              </w:rPr>
              <w:t>Quanex Building Products Corporation</w:t>
            </w:r>
          </w:p>
        </w:tc>
      </w:tr>
      <w:tr>
        <w:trPr>
          <w:trHeight w:val="626"/>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June 4, 2026</w:t>
            </w:r>
          </w:p>
        </w:tc>
        <w:tc>
          <w:tcPr>
            <w:tcW w:w="4900" w:type="dxa"/>
            <w:vAlign w:val="bottom"/>
            <w:gridSpan w:val="3"/>
          </w:tcPr>
          <w:p>
            <w:pPr>
              <w:ind w:left="2140"/>
              <w:spacing w:after="0"/>
              <w:rPr>
                <w:sz w:val="20"/>
                <w:szCs w:val="20"/>
                <w:color w:val="auto"/>
              </w:rPr>
            </w:pPr>
            <w:r>
              <w:rPr>
                <w:rFonts w:ascii="Times New Roman" w:cs="Times New Roman" w:eastAsia="Times New Roman" w:hAnsi="Times New Roman"/>
                <w:sz w:val="16"/>
                <w:szCs w:val="16"/>
                <w:color w:val="auto"/>
              </w:rPr>
              <w:t>By: /s/ SCOTT ZUEHLKE</w:t>
            </w:r>
          </w:p>
        </w:tc>
      </w:tr>
      <w:tr>
        <w:trPr>
          <w:trHeight w:val="214"/>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Scott Zuehlke</w:t>
            </w:r>
          </w:p>
        </w:tc>
        <w:tc>
          <w:tcPr>
            <w:tcW w:w="640" w:type="dxa"/>
            <w:vAlign w:val="bottom"/>
          </w:tcPr>
          <w:p>
            <w:pPr>
              <w:spacing w:after="0"/>
              <w:rPr>
                <w:sz w:val="18"/>
                <w:szCs w:val="18"/>
                <w:color w:val="auto"/>
              </w:rPr>
            </w:pPr>
          </w:p>
        </w:tc>
      </w:tr>
      <w:tr>
        <w:trPr>
          <w:trHeight w:val="221"/>
        </w:trPr>
        <w:tc>
          <w:tcPr>
            <w:tcW w:w="3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SVP, CFO and Treasurer</w:t>
            </w:r>
          </w:p>
        </w:tc>
      </w:tr>
    </w:tbl>
    <w:p>
      <w:pPr>
        <w:sectPr>
          <w:pgSz w:w="11900" w:h="16838" w:orient="portrait"/>
          <w:cols w:equalWidth="0" w:num="1">
            <w:col w:w="11140"/>
          </w:cols>
          <w:pgMar w:left="320" w:top="562"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Quanex Building Products Announces Second Quarter 2026 Results</w:t>
      </w:r>
    </w:p>
    <w:p>
      <w:pPr>
        <w:spacing w:after="0" w:line="19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Net Sales Growth of ~2% Year-Over-Year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Volumes Tracking Normal Seasonality Patterns</w:t>
      </w:r>
    </w:p>
    <w:p>
      <w:pPr>
        <w:ind w:left="3860"/>
        <w:spacing w:after="0" w:line="230" w:lineRule="auto"/>
        <w:rPr>
          <w:sz w:val="20"/>
          <w:szCs w:val="20"/>
          <w:color w:val="auto"/>
        </w:rPr>
      </w:pPr>
      <w:r>
        <w:rPr>
          <w:rFonts w:ascii="Times New Roman" w:cs="Times New Roman" w:eastAsia="Times New Roman" w:hAnsi="Times New Roman"/>
          <w:sz w:val="20"/>
          <w:szCs w:val="20"/>
          <w:b w:val="1"/>
          <w:bCs w:val="1"/>
          <w:color w:val="auto"/>
        </w:rPr>
        <w:t>Price vs Cost Imbalance Being Addressed</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Executing on Working Capital Management</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HOUSTON, June 04, 2026 (GLOBE NEWSWIRE) -- </w:t>
      </w:r>
      <w:r>
        <w:rPr>
          <w:rFonts w:ascii="Times New Roman" w:cs="Times New Roman" w:eastAsia="Times New Roman" w:hAnsi="Times New Roman"/>
          <w:sz w:val="20"/>
          <w:szCs w:val="20"/>
          <w:b w:val="1"/>
          <w:bCs w:val="1"/>
          <w:u w:val="single" w:color="auto"/>
          <w:color w:val="auto"/>
        </w:rPr>
        <w:t>Quanex Building Products Corporation</w:t>
      </w:r>
      <w:r>
        <w:rPr>
          <w:rFonts w:ascii="Times New Roman" w:cs="Times New Roman" w:eastAsia="Times New Roman" w:hAnsi="Times New Roman"/>
          <w:sz w:val="20"/>
          <w:szCs w:val="20"/>
          <w:color w:val="auto"/>
        </w:rPr>
        <w:t xml:space="preserve"> (NYSE:NX) (“Quanex” or the “Company”) today announced its results for the three months ended April 30,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reported the following selected financial results: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0" w:type="dxa"/>
            <w:vAlign w:val="bottom"/>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300" w:type="dxa"/>
            <w:vAlign w:val="bottom"/>
          </w:tcPr>
          <w:p>
            <w:pPr>
              <w:spacing w:after="0"/>
              <w:rPr>
                <w:sz w:val="22"/>
                <w:szCs w:val="22"/>
                <w:color w:val="auto"/>
              </w:rPr>
            </w:pPr>
          </w:p>
        </w:tc>
        <w:tc>
          <w:tcPr>
            <w:tcW w:w="3020" w:type="dxa"/>
            <w:vAlign w:val="bottom"/>
            <w:gridSpan w:val="4"/>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Six Months Ended April 30,</w:t>
            </w:r>
          </w:p>
        </w:tc>
      </w:tr>
      <w:tr>
        <w:trPr>
          <w:trHeight w:val="24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in millions, except per share data)</w:t>
            </w: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25"/>
        </w:trPr>
        <w:tc>
          <w:tcPr>
            <w:tcW w:w="44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Net Sales</w:t>
            </w:r>
          </w:p>
        </w:tc>
        <w:tc>
          <w:tcPr>
            <w:tcW w:w="240" w:type="dxa"/>
            <w:vAlign w:val="bottom"/>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line="226" w:lineRule="exact"/>
              <w:rPr>
                <w:sz w:val="20"/>
                <w:szCs w:val="20"/>
                <w:color w:val="auto"/>
              </w:rPr>
            </w:pPr>
            <w:r>
              <w:rPr>
                <w:rFonts w:ascii="Times New Roman" w:cs="Times New Roman" w:eastAsia="Times New Roman" w:hAnsi="Times New Roman"/>
                <w:sz w:val="20"/>
                <w:szCs w:val="20"/>
                <w:color w:val="auto"/>
              </w:rPr>
              <w:t>462.4</w:t>
            </w:r>
          </w:p>
        </w:tc>
        <w:tc>
          <w:tcPr>
            <w:tcW w:w="120" w:type="dxa"/>
            <w:vAlign w:val="bottom"/>
          </w:tcPr>
          <w:p>
            <w:pPr>
              <w:spacing w:after="0"/>
              <w:rPr>
                <w:sz w:val="19"/>
                <w:szCs w:val="19"/>
                <w:color w:val="auto"/>
              </w:rPr>
            </w:pPr>
          </w:p>
        </w:tc>
        <w:tc>
          <w:tcPr>
            <w:tcW w:w="340" w:type="dxa"/>
            <w:vAlign w:val="bottom"/>
          </w:tcPr>
          <w:p>
            <w:pPr>
              <w:jc w:val="right"/>
              <w:ind w:right="1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line="226" w:lineRule="exact"/>
              <w:rPr>
                <w:sz w:val="20"/>
                <w:szCs w:val="20"/>
                <w:color w:val="auto"/>
              </w:rPr>
            </w:pPr>
            <w:r>
              <w:rPr>
                <w:rFonts w:ascii="Times New Roman" w:cs="Times New Roman" w:eastAsia="Times New Roman" w:hAnsi="Times New Roman"/>
                <w:sz w:val="20"/>
                <w:szCs w:val="20"/>
                <w:color w:val="auto"/>
              </w:rPr>
              <w:t>452.5</w:t>
            </w:r>
          </w:p>
        </w:tc>
        <w:tc>
          <w:tcPr>
            <w:tcW w:w="120" w:type="dxa"/>
            <w:vAlign w:val="bottom"/>
          </w:tcPr>
          <w:p>
            <w:pPr>
              <w:spacing w:after="0"/>
              <w:rPr>
                <w:sz w:val="19"/>
                <w:szCs w:val="19"/>
                <w:color w:val="auto"/>
              </w:rPr>
            </w:pPr>
          </w:p>
        </w:tc>
        <w:tc>
          <w:tcPr>
            <w:tcW w:w="300" w:type="dxa"/>
            <w:vAlign w:val="bottom"/>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82"/>
              <w:spacing w:after="0" w:line="226" w:lineRule="exact"/>
              <w:rPr>
                <w:sz w:val="20"/>
                <w:szCs w:val="20"/>
                <w:color w:val="auto"/>
              </w:rPr>
            </w:pPr>
            <w:r>
              <w:rPr>
                <w:rFonts w:ascii="Times New Roman" w:cs="Times New Roman" w:eastAsia="Times New Roman" w:hAnsi="Times New Roman"/>
                <w:sz w:val="20"/>
                <w:szCs w:val="20"/>
                <w:color w:val="auto"/>
              </w:rPr>
              <w:t>871.5</w:t>
            </w:r>
          </w:p>
        </w:tc>
        <w:tc>
          <w:tcPr>
            <w:tcW w:w="120" w:type="dxa"/>
            <w:vAlign w:val="bottom"/>
          </w:tcPr>
          <w:p>
            <w:pPr>
              <w:spacing w:after="0"/>
              <w:rPr>
                <w:sz w:val="19"/>
                <w:szCs w:val="19"/>
                <w:color w:val="auto"/>
              </w:rPr>
            </w:pPr>
          </w:p>
        </w:tc>
        <w:tc>
          <w:tcPr>
            <w:tcW w:w="340" w:type="dxa"/>
            <w:vAlign w:val="bottom"/>
          </w:tcPr>
          <w:p>
            <w:pPr>
              <w:jc w:val="right"/>
              <w:ind w:right="1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line="226" w:lineRule="exact"/>
              <w:rPr>
                <w:sz w:val="20"/>
                <w:szCs w:val="20"/>
                <w:color w:val="auto"/>
              </w:rPr>
            </w:pPr>
            <w:r>
              <w:rPr>
                <w:rFonts w:ascii="Times New Roman" w:cs="Times New Roman" w:eastAsia="Times New Roman" w:hAnsi="Times New Roman"/>
                <w:sz w:val="20"/>
                <w:szCs w:val="20"/>
                <w:color w:val="auto"/>
              </w:rPr>
              <w:t>852.5</w:t>
            </w:r>
          </w:p>
        </w:tc>
      </w:tr>
      <w:tr>
        <w:trPr>
          <w:trHeight w:val="244"/>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117.8</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131.4</w:t>
            </w:r>
          </w:p>
        </w:tc>
        <w:tc>
          <w:tcPr>
            <w:tcW w:w="12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216.3</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223.7</w:t>
            </w:r>
          </w:p>
        </w:tc>
      </w:tr>
      <w:tr>
        <w:trPr>
          <w:trHeight w:val="248"/>
        </w:trPr>
        <w:tc>
          <w:tcPr>
            <w:tcW w:w="446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26.2%</w:t>
            </w:r>
          </w:p>
        </w:tc>
      </w:tr>
      <w:tr>
        <w:trPr>
          <w:trHeight w:val="246"/>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20.5</w:t>
            </w:r>
          </w:p>
        </w:tc>
        <w:tc>
          <w:tcPr>
            <w:tcW w:w="12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(0.7)</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Diluted EPS</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tcPr>
          <w:p>
            <w:pPr>
              <w:spacing w:after="0"/>
              <w:rPr>
                <w:sz w:val="22"/>
                <w:szCs w:val="22"/>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0.44</w:t>
            </w:r>
          </w:p>
        </w:tc>
        <w:tc>
          <w:tcPr>
            <w:tcW w:w="120" w:type="dxa"/>
            <w:vAlign w:val="bottom"/>
          </w:tcPr>
          <w:p>
            <w:pPr>
              <w:spacing w:after="0"/>
              <w:rPr>
                <w:sz w:val="22"/>
                <w:szCs w:val="22"/>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tcPr>
          <w:p>
            <w:pPr>
              <w:spacing w:after="0"/>
              <w:rPr>
                <w:sz w:val="22"/>
                <w:szCs w:val="22"/>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0.12</w:t>
            </w:r>
          </w:p>
        </w:tc>
      </w:tr>
      <w:tr>
        <w:trPr>
          <w:trHeight w:val="48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11.3</w:t>
            </w:r>
          </w:p>
        </w:tc>
        <w:tc>
          <w:tcPr>
            <w:tcW w:w="12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29.1</w:t>
            </w:r>
          </w:p>
        </w:tc>
        <w:tc>
          <w:tcPr>
            <w:tcW w:w="120" w:type="dxa"/>
            <w:vAlign w:val="bottom"/>
          </w:tcPr>
          <w:p>
            <w:pPr>
              <w:spacing w:after="0"/>
              <w:rPr>
                <w:sz w:val="24"/>
                <w:szCs w:val="24"/>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w:t>
            </w:r>
          </w:p>
        </w:tc>
        <w:tc>
          <w:tcPr>
            <w:tcW w:w="12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38.1</w:t>
            </w:r>
          </w:p>
        </w:tc>
      </w:tr>
      <w:tr>
        <w:trPr>
          <w:trHeight w:val="246"/>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Adjusted Diluted EPS</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0.25</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0.63</w:t>
            </w:r>
          </w:p>
        </w:tc>
        <w:tc>
          <w:tcPr>
            <w:tcW w:w="12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0.24</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0.81</w:t>
            </w:r>
          </w:p>
        </w:tc>
      </w:tr>
      <w:tr>
        <w:trPr>
          <w:trHeight w:val="244"/>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44.2</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63.1</w:t>
            </w:r>
          </w:p>
        </w:tc>
        <w:tc>
          <w:tcPr>
            <w:tcW w:w="12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71.6</w:t>
            </w:r>
          </w:p>
        </w:tc>
        <w:tc>
          <w:tcPr>
            <w:tcW w:w="120" w:type="dxa"/>
            <w:vAlign w:val="bottom"/>
          </w:tcPr>
          <w:p>
            <w:pPr>
              <w:spacing w:after="0"/>
              <w:rPr>
                <w:sz w:val="21"/>
                <w:szCs w:val="21"/>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101.7</w:t>
            </w:r>
          </w:p>
        </w:tc>
      </w:tr>
      <w:tr>
        <w:trPr>
          <w:trHeight w:val="259"/>
        </w:trPr>
        <w:tc>
          <w:tcPr>
            <w:tcW w:w="446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11.9%</w:t>
            </w:r>
          </w:p>
        </w:tc>
      </w:tr>
      <w:tr>
        <w:trPr>
          <w:trHeight w:val="48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Cash Provided By (Used For) Operating Activities</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18.9</w:t>
            </w:r>
          </w:p>
        </w:tc>
        <w:tc>
          <w:tcPr>
            <w:tcW w:w="12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28.5</w:t>
            </w:r>
          </w:p>
        </w:tc>
        <w:tc>
          <w:tcPr>
            <w:tcW w:w="120" w:type="dxa"/>
            <w:vAlign w:val="bottom"/>
          </w:tcPr>
          <w:p>
            <w:pPr>
              <w:spacing w:after="0"/>
              <w:rPr>
                <w:sz w:val="24"/>
                <w:szCs w:val="24"/>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4"/>
                <w:szCs w:val="24"/>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16.0</w:t>
            </w: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Free Cash Flow</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7.9</w:t>
            </w:r>
          </w:p>
        </w:tc>
        <w:tc>
          <w:tcPr>
            <w:tcW w:w="120" w:type="dxa"/>
            <w:vAlign w:val="bottom"/>
          </w:tcPr>
          <w:p>
            <w:pPr>
              <w:spacing w:after="0"/>
              <w:rPr>
                <w:sz w:val="22"/>
                <w:szCs w:val="22"/>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13.6</w:t>
            </w:r>
          </w:p>
        </w:tc>
        <w:tc>
          <w:tcPr>
            <w:tcW w:w="120" w:type="dxa"/>
            <w:vAlign w:val="bottom"/>
          </w:tcPr>
          <w:p>
            <w:pPr>
              <w:spacing w:after="0"/>
              <w:rPr>
                <w:sz w:val="22"/>
                <w:szCs w:val="22"/>
                <w:color w:val="auto"/>
              </w:rPr>
            </w:pP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(23.6)</w:t>
            </w:r>
          </w:p>
        </w:tc>
        <w:tc>
          <w:tcPr>
            <w:tcW w:w="120" w:type="dxa"/>
            <w:vAlign w:val="bottom"/>
          </w:tcPr>
          <w:p>
            <w:pPr>
              <w:spacing w:after="0"/>
              <w:rPr>
                <w:sz w:val="22"/>
                <w:szCs w:val="22"/>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(10.6)</w:t>
            </w:r>
          </w:p>
        </w:tc>
      </w:tr>
    </w:tbl>
    <w:p>
      <w:pPr>
        <w:spacing w:after="0" w:line="1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(See Non-GAAP Terminology Definitions and Disclaimers section, Non-GAAP Financial Measure Disclosure table, Selected Segment Data table and reconciliation tables for additional information)</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George Wilson, Chairman, President and Chief Executive Officer, commented, “Despite the headwinds our industry is facing, demand for the products we manufacture was as expected during the second quarter of 2026. Rapid inflationary pressures related to macroeconomic concerns and the ongoing conflict in the Middle East led to an unfavorable price versus cost dynamic, which pressured our margins. As previously disclosed, we utilize surcharges to respond to rapid increases in costs and we have index pricing mechanisms in place in North America to handle fluctuations in major raw material costs, but when costs increase quickly there is a timing lag and margins are negatively impacted. We are addressing the current price versus cost imbalance to minimize further negative impact and expect to recover some of the shortfall to date during the second half of this year, assuming volumes continue to track the normal seasonality of our business, and the rate of inflationary pressure subsides.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expected to be a net borrower during the second quarter due to the seasonality of our business, coupled with the longer cash conversion cycle of the legacy Tyman business, but continued execution on managing working capital, coupled with the seasonal uptick in volumes, enabled us to avoid being a net borrower for the quarter. We intend to prioritize debt repayment and opportunistic share repurchases as we generate cash in the second half. In addition, we will continue to focus on the things we can control, which includes identifying operational efficiencies and commercial synergies that we believe will benefit us when consumer confidence improves and demand rebounds.”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2026 Results Summary</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Quanex reported net sales of $462.4 million during the three months ended April 30, 2026, which represents an increase of 2.2% compared to $452.5 million for the same period in 2025, mainly due to favorable impacts from pricing, including tariff-related price recoveries, and foreign exchange translation. The Hardware Solutions and Extruded Solutions segments each reported modest increases in net sales for the second quarter of 2026, as lower volumes were offset by favorable impacts from pricing, including tariff-related recoveries and foreign exchange translation. Quanex reported an increase of 6.6% in net sales for the second quarter of 2026 in its Custom Solutions segment, largely due to increased volume and improved pricing. (See Sales Analysis table for additional information)</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On a consolidated basis, the decrease in adjusted earnings for the second quarter of 2026 compared to the second quarter of 2025 was mainly due to reduced operating leverage from lower volumes related to ongoing macroeconomic uncertainty combined with weak consumer confidence, tariff-related costs and inflationary pressures. More specifically, due to the ongoing war in the Middle East, the Company realized a significant increase in transportation and raw material costs during the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&amp; Liquidity Update</w:t>
      </w:r>
    </w:p>
    <w:p>
      <w:pPr>
        <w:spacing w:after="0" w:line="1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As of April 30, 2026, the Company had total debt of $715.0 million and Quanex’s leverage ratio of Net Debt to LTM Adjusted EBITDA was 3.1x. As of April 30, 2026, Quanex reported a LTM Net Loss of $257.2 million, mainly due to the non-cash goodwill impairment charge recorded in the third quarter of 2025, and LTM Adjusted EBITDA of $212.8 million (See Non-GAAP Terminology Definitions and Disclaimers section, Net Debt Reconciliation table and Last Twelve Months Adjusted EBITDA Reconciliation table for additional information)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liquidity was $328.6 million as of April 30, 2026, consisting of $63.7 million in cash on hand plus availability under its Senior Secured Revolving Credit Facility due 2029, less letters of credit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84" w:lineRule="auto"/>
        <w:rPr>
          <w:sz w:val="20"/>
          <w:szCs w:val="20"/>
          <w:color w:val="auto"/>
        </w:rPr>
      </w:pPr>
      <w:r>
        <w:rPr>
          <w:rFonts w:ascii="Times New Roman" w:cs="Times New Roman" w:eastAsia="Times New Roman" w:hAnsi="Times New Roman"/>
          <w:sz w:val="19"/>
          <w:szCs w:val="19"/>
          <w:color w:val="auto"/>
        </w:rPr>
        <w:t>The Company has scheduled a conference call for Friday, June 5, 2026, at 11:00 a.m. ET (10:00 a.m. CT) to discuss the release. A link to the live audio webcast will be available on Quanex’s website at http://www.quanex.com in the Investors section under Presentations &amp; Events.</w:t>
      </w:r>
    </w:p>
    <w:p>
      <w:pPr>
        <w:spacing w:after="0" w:line="121" w:lineRule="exact"/>
        <w:rPr>
          <w:sz w:val="20"/>
          <w:szCs w:val="20"/>
          <w:color w:val="auto"/>
        </w:rPr>
      </w:pPr>
    </w:p>
    <w:p>
      <w:pPr>
        <w:ind w:right="3040"/>
        <w:spacing w:after="0" w:line="259" w:lineRule="auto"/>
        <w:rPr>
          <w:sz w:val="20"/>
          <w:szCs w:val="20"/>
          <w:color w:val="auto"/>
        </w:rPr>
      </w:pPr>
      <w:r>
        <w:rPr>
          <w:rFonts w:ascii="Times New Roman" w:cs="Times New Roman" w:eastAsia="Times New Roman" w:hAnsi="Times New Roman"/>
          <w:sz w:val="20"/>
          <w:szCs w:val="20"/>
          <w:color w:val="auto"/>
        </w:rPr>
        <w:t>Participants can pre-register for the conference call using the following link: https://register-conf.media-server.com/register/BIcb9c8924a43d483f9a1238134ae8964f</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Registered participants will receive an email containing conference call details for dial-in options. To avoid delays, it is recommended that participants dial into the conference call ten minutes ahead of the scheduled start time. A replay will be available for a limited time on the Company’s website at http://www.quanex.com in the Investors section under Presentations &amp; Events.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Quanex</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Quanex is a global manufacturer with core capabilities and broad applications across various end markets. The Company currently collaborates and partners with leading OEMs to provide innovative solutions in the window, door, solar, refrigeration, custom mixing, building access and cabinetry markets. Looking ahead, Quanex plans to leverage its material science expertise and process engineering to expand into adjacent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 Zuehlke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SVP, Chief Financial Officer &amp; Treasurer</w:t>
      </w:r>
    </w:p>
    <w:p>
      <w:pPr>
        <w:spacing w:after="0" w:line="230" w:lineRule="auto"/>
        <w:rPr>
          <w:sz w:val="20"/>
          <w:szCs w:val="20"/>
          <w:color w:val="auto"/>
        </w:rPr>
      </w:pPr>
      <w:r>
        <w:rPr>
          <w:rFonts w:ascii="Times New Roman" w:cs="Times New Roman" w:eastAsia="Times New Roman" w:hAnsi="Times New Roman"/>
          <w:sz w:val="20"/>
          <w:szCs w:val="20"/>
          <w:color w:val="auto"/>
        </w:rPr>
        <w:t>713-877-5327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scott.zuehlke@quanex.com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Terminology Definitions and Disclaimers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Adjusted Net Income (defined as net income further adjusted to exclude amortization of step-up for purchase price adjustments on inventory, asset impairment charges, transaction, advisory fees and reorganization costs, restructuring charges related to severance and disposal of software, amortization expense related to intangible assets, pension settlement refund and other net adjustments related to foreign currency transaction gain/loss and effective tax rates reflecting impacts of adjustments on a with and without basis) and Adjusted EPS are non-GAAP financial measures that Quanex believes provide a consistent basis for comparison between periods and more accurately reflect operational performance, as they are not influenced by certain income or expense items not affecting ongoing operations. EBITDA (defined as net income or loss before interest, taxes, depreciation and amortization and other, net), Adjusted EBITDA and LTM Adjusted EBITDA (defined as EBITDA further adjusted to exclude purchase price accounting inventory step-ups, transaction costs, certain severance charges, gain/loss on the sale of certain fixed assets, restructuring charges and asset impairment charges) are non-GAAP financial measures that the Company uses to measure operational performance and assist with financial decision-making. Net Debt is defined as total debt (outstanding balance on the revolving credit facility plus financial lease obligations) less cash and cash equivalents. The leverage ratio of Net Debt to LTM Adjusted EBITDA is a financial measure that the Company believes is useful to investors and financial analysts in evaluating Quanex’s leverage. In addition, with certain limited adjustments, this leverage ratio is the basis for a key covenant in the Company’s credit agreement.</w:t>
      </w:r>
    </w:p>
    <w:p>
      <w:pPr>
        <w:spacing w:after="0" w:line="1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Free Cash Flow is a non-GAAP measure calculated using cash provided by operating activities less capital expenditures. Quanex uses the Free Cash Flow metric to measure operational and cash management performance and assist with financial decision-making. Free Cash Flow is measured before application of certain contractual commitments (including capital lease obligations), and accordingly is not a true measure of the Company’s residual cash flow available for discretionary expenditures. Quanex believes Free Cash Flow is useful to investors in understanding and evaluating the Company’s financial and cash management performance.</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Quanex believes that the presented non-GAAP measures provide a consistent basis for comparison between periods and will assist investors in understanding the Company’s financial performance when comparing results to other investment opportunities. These measures allow management and investors to evaluate operational performance and trends without the impact of certain non-cash charges, acquisition-related costs, and other items that may vary significantly from period to period and may not be reflective of Quanex’s core operating results. The presented non-GAAP measures may not be the same as those used by other companies. The Company does not intend for this information to be considered in isolation or as a substitute for other measures prepared in accordance with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U.S. Private Securities Litigation Reform Act of 1995. Statements that use the words “estimated,” “expect,” “could,” “should,” “believe,” “will,” “might,” “anticipate,” “intend,” “plan,” “project,” “seek,” “would,” “may,” or similar words reflecting future expectations or beliefs are forward-looking statements. The forward-looking statements include, but are not limited to, the following: Quanex’s future operating results, future financial condition, future uses of cash and other expenditures, expenses and tax rates, expectations relating to the Company’s industry, expectations regarding the recovery of price versus cost imbalances, anticipated debt repayment and share repurchase activity, expected operational efficiencies and synergies and the Company’s future growth, including any guidance discussed in this press release. The statements and guidance set forth in this release are based on current expectations. Actual results or events may differ materially from those expressed or implied in these forward-looking statements. Therefore, you should not rely on any of these forward-looking statements. For a complete discussion of factors that may affect the Company’s future performance, please refer to Quanex’s Annual Report on Form 10-K for the fiscal year ended October 31, 2025, and the Company’s Quarterly Reports on Form 10-Q under the sections entitled “Cautionary Note Regarding Forward-Looking Statements” and “Risk Factors”. Any forward-looking statements in this press release are made as of the date hereof, and the Company undertakes no obligation to update or revise any forward-looking statements, whether written or oral, to reflect new information, developments or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per share data)</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sectPr>
          <w:pgSz w:w="11900" w:h="16838" w:orient="portrait"/>
          <w:cols w:equalWidth="0" w:num="1">
            <w:col w:w="11240"/>
          </w:cols>
          <w:pgMar w:left="320" w:top="116" w:right="339" w:bottom="32"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4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280" w:type="dxa"/>
            <w:vAlign w:val="bottom"/>
          </w:tcPr>
          <w:p>
            <w:pPr>
              <w:spacing w:after="0"/>
              <w:rPr>
                <w:sz w:val="22"/>
                <w:szCs w:val="22"/>
                <w:color w:val="auto"/>
              </w:rPr>
            </w:pPr>
          </w:p>
        </w:tc>
        <w:tc>
          <w:tcPr>
            <w:tcW w:w="2940" w:type="dxa"/>
            <w:vAlign w:val="bottom"/>
            <w:gridSpan w:val="4"/>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Six Months Ended April 30,</w:t>
            </w:r>
          </w:p>
        </w:tc>
      </w:tr>
      <w:tr>
        <w:trPr>
          <w:trHeight w:val="239"/>
        </w:trPr>
        <w:tc>
          <w:tcPr>
            <w:tcW w:w="4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471"/>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462,367</w:t>
            </w:r>
          </w:p>
        </w:tc>
        <w:tc>
          <w:tcPr>
            <w:tcW w:w="120" w:type="dxa"/>
            <w:vAlign w:val="bottom"/>
          </w:tcPr>
          <w:p>
            <w:pPr>
              <w:spacing w:after="0"/>
              <w:rPr>
                <w:sz w:val="24"/>
                <w:szCs w:val="24"/>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452,478</w:t>
            </w:r>
          </w:p>
        </w:tc>
        <w:tc>
          <w:tcPr>
            <w:tcW w:w="120" w:type="dxa"/>
            <w:vAlign w:val="bottom"/>
          </w:tcPr>
          <w:p>
            <w:pPr>
              <w:spacing w:after="0"/>
              <w:rPr>
                <w:sz w:val="24"/>
                <w:szCs w:val="24"/>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871,456</w:t>
            </w:r>
          </w:p>
        </w:tc>
        <w:tc>
          <w:tcPr>
            <w:tcW w:w="100" w:type="dxa"/>
            <w:vAlign w:val="bottom"/>
          </w:tcPr>
          <w:p>
            <w:pPr>
              <w:spacing w:after="0"/>
              <w:rPr>
                <w:sz w:val="24"/>
                <w:szCs w:val="24"/>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852,522</w:t>
            </w: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344,575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321,096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655,137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628,824</w:t>
            </w: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74,432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70,333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145,858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136,983</w:t>
            </w: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charges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8,840</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24,650</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19,192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48,899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43,932</w:t>
            </w:r>
          </w:p>
        </w:tc>
      </w:tr>
      <w:tr>
        <w:trPr>
          <w:trHeight w:val="227"/>
        </w:trPr>
        <w:tc>
          <w:tcPr>
            <w:tcW w:w="460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spacing w:after="0"/>
              <w:rPr>
                <w:sz w:val="19"/>
                <w:szCs w:val="19"/>
                <w:color w:val="auto"/>
              </w:rPr>
            </w:pPr>
          </w:p>
        </w:tc>
        <w:tc>
          <w:tcPr>
            <w:tcW w:w="136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18,710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40,921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21,562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33,943</w:t>
            </w: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(28,126)</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448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6,065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1,070</w:t>
            </w:r>
          </w:p>
        </w:tc>
      </w:tr>
      <w:tr>
        <w:trPr>
          <w:trHeight w:val="227"/>
        </w:trPr>
        <w:tc>
          <w:tcPr>
            <w:tcW w:w="460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Income before income taxes</w:t>
            </w:r>
          </w:p>
        </w:tc>
        <w:tc>
          <w:tcPr>
            <w:tcW w:w="240" w:type="dxa"/>
            <w:vAlign w:val="bottom"/>
          </w:tcPr>
          <w:p>
            <w:pPr>
              <w:spacing w:after="0"/>
              <w:rPr>
                <w:sz w:val="19"/>
                <w:szCs w:val="19"/>
                <w:color w:val="auto"/>
              </w:rPr>
            </w:pPr>
          </w:p>
        </w:tc>
        <w:tc>
          <w:tcPr>
            <w:tcW w:w="136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7,116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26,822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3,218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6,887</w:t>
            </w:r>
          </w:p>
        </w:tc>
      </w:tr>
      <w:tr>
        <w:trPr>
          <w:trHeight w:val="25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(1,257)</w:t>
            </w: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3,350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20,515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5,630</w:t>
            </w: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8"/>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Earnings (loss) per common share, basic</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tcPr>
          <w:p>
            <w:pPr>
              <w:spacing w:after="0"/>
              <w:rPr>
                <w:sz w:val="24"/>
                <w:szCs w:val="24"/>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0.44</w:t>
            </w:r>
          </w:p>
        </w:tc>
        <w:tc>
          <w:tcPr>
            <w:tcW w:w="120" w:type="dxa"/>
            <w:vAlign w:val="bottom"/>
          </w:tcPr>
          <w:p>
            <w:pPr>
              <w:spacing w:after="0"/>
              <w:rPr>
                <w:sz w:val="24"/>
                <w:szCs w:val="24"/>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00" w:type="dxa"/>
            <w:vAlign w:val="bottom"/>
          </w:tcPr>
          <w:p>
            <w:pPr>
              <w:spacing w:after="0"/>
              <w:rPr>
                <w:sz w:val="24"/>
                <w:szCs w:val="24"/>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0.12</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Earnings (loss) per common share, diluted</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0.07</w:t>
            </w:r>
          </w:p>
        </w:tc>
        <w:tc>
          <w:tcPr>
            <w:tcW w:w="120" w:type="dxa"/>
            <w:vAlign w:val="bottom"/>
          </w:tcPr>
          <w:p>
            <w:pPr>
              <w:spacing w:after="0"/>
              <w:rPr>
                <w:sz w:val="22"/>
                <w:szCs w:val="22"/>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0.44</w:t>
            </w:r>
          </w:p>
        </w:tc>
        <w:tc>
          <w:tcPr>
            <w:tcW w:w="120" w:type="dxa"/>
            <w:vAlign w:val="bottom"/>
          </w:tcPr>
          <w:p>
            <w:pPr>
              <w:spacing w:after="0"/>
              <w:rPr>
                <w:sz w:val="22"/>
                <w:szCs w:val="22"/>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00" w:type="dxa"/>
            <w:vAlign w:val="bottom"/>
          </w:tcPr>
          <w:p>
            <w:pPr>
              <w:spacing w:after="0"/>
              <w:rPr>
                <w:sz w:val="22"/>
                <w:szCs w:val="22"/>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0.12</w:t>
            </w:r>
          </w:p>
        </w:tc>
      </w:tr>
      <w:tr>
        <w:trPr>
          <w:trHeight w:val="480"/>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6"/>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45,483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46,483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45,469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46,753</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45,658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46,563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45,469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46,868</w:t>
            </w:r>
          </w:p>
        </w:tc>
      </w:tr>
      <w:tr>
        <w:trPr>
          <w:trHeight w:val="492"/>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per share</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0.08</w:t>
            </w:r>
          </w:p>
        </w:tc>
        <w:tc>
          <w:tcPr>
            <w:tcW w:w="120" w:type="dxa"/>
            <w:vAlign w:val="bottom"/>
          </w:tcPr>
          <w:p>
            <w:pPr>
              <w:spacing w:after="0"/>
              <w:rPr>
                <w:sz w:val="24"/>
                <w:szCs w:val="24"/>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0.08</w:t>
            </w:r>
          </w:p>
        </w:tc>
        <w:tc>
          <w:tcPr>
            <w:tcW w:w="120" w:type="dxa"/>
            <w:vAlign w:val="bottom"/>
          </w:tcPr>
          <w:p>
            <w:pPr>
              <w:spacing w:after="0"/>
              <w:rPr>
                <w:sz w:val="24"/>
                <w:szCs w:val="24"/>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0.16</w:t>
            </w:r>
          </w:p>
        </w:tc>
        <w:tc>
          <w:tcPr>
            <w:tcW w:w="100" w:type="dxa"/>
            <w:vAlign w:val="bottom"/>
          </w:tcPr>
          <w:p>
            <w:pPr>
              <w:spacing w:after="0"/>
              <w:rPr>
                <w:sz w:val="24"/>
                <w:szCs w:val="24"/>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ind w:right="20"/>
        <w:spacing w:after="0" w:line="230" w:lineRule="auto"/>
        <w:rPr>
          <w:sz w:val="20"/>
          <w:szCs w:val="20"/>
          <w:color w:val="auto"/>
        </w:rPr>
      </w:pPr>
      <w:r>
        <w:rPr>
          <w:rFonts w:ascii="Times New Roman" w:cs="Times New Roman" w:eastAsia="Times New Roman" w:hAnsi="Times New Roman"/>
          <w:sz w:val="20"/>
          <w:szCs w:val="20"/>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80" w:type="dxa"/>
            <w:vAlign w:val="bottom"/>
            <w:vMerge w:val="restart"/>
          </w:tcPr>
          <w:p>
            <w:pPr>
              <w:ind w:left="360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April 30,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October 31, 2025</w:t>
            </w:r>
          </w:p>
        </w:tc>
        <w:tc>
          <w:tcPr>
            <w:tcW w:w="0" w:type="dxa"/>
            <w:vAlign w:val="bottom"/>
          </w:tcPr>
          <w:p>
            <w:pPr>
              <w:spacing w:after="0"/>
              <w:rPr>
                <w:sz w:val="1"/>
                <w:szCs w:val="1"/>
                <w:color w:val="auto"/>
              </w:rPr>
            </w:pPr>
          </w:p>
        </w:tc>
      </w:tr>
      <w:tr>
        <w:trPr>
          <w:trHeight w:val="226"/>
        </w:trPr>
        <w:tc>
          <w:tcPr>
            <w:tcW w:w="798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63,671</w:t>
            </w:r>
          </w:p>
        </w:tc>
        <w:tc>
          <w:tcPr>
            <w:tcW w:w="100" w:type="dxa"/>
            <w:vAlign w:val="bottom"/>
          </w:tcPr>
          <w:p>
            <w:pPr>
              <w:spacing w:after="0"/>
              <w:rPr>
                <w:sz w:val="21"/>
                <w:szCs w:val="21"/>
                <w:color w:val="auto"/>
              </w:rPr>
            </w:pP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76,018</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Cash</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2,100</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Accounts receivable, net</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211,088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205,384</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Inventories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278,047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254,122</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Income taxes receivable</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Prepaid assets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39,542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32,387</w:t>
            </w:r>
          </w:p>
        </w:tc>
        <w:tc>
          <w:tcPr>
            <w:tcW w:w="0" w:type="dxa"/>
            <w:vAlign w:val="bottom"/>
          </w:tcPr>
          <w:p>
            <w:pPr>
              <w:spacing w:after="0"/>
              <w:rPr>
                <w:sz w:val="1"/>
                <w:szCs w:val="1"/>
                <w:color w:val="auto"/>
              </w:rPr>
            </w:pPr>
          </w:p>
        </w:tc>
      </w:tr>
      <w:tr>
        <w:trPr>
          <w:trHeight w:val="257"/>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current assets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3,651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3,764</w:t>
            </w:r>
          </w:p>
        </w:tc>
        <w:tc>
          <w:tcPr>
            <w:tcW w:w="0" w:type="dxa"/>
            <w:vAlign w:val="bottom"/>
          </w:tcPr>
          <w:p>
            <w:pPr>
              <w:spacing w:after="0"/>
              <w:rPr>
                <w:sz w:val="1"/>
                <w:szCs w:val="1"/>
                <w:color w:val="auto"/>
              </w:rPr>
            </w:pPr>
          </w:p>
        </w:tc>
      </w:tr>
      <w:tr>
        <w:trPr>
          <w:trHeight w:val="227"/>
        </w:trPr>
        <w:tc>
          <w:tcPr>
            <w:tcW w:w="7980" w:type="dxa"/>
            <w:vAlign w:val="bottom"/>
          </w:tcPr>
          <w:p>
            <w:pPr>
              <w:ind w:left="340"/>
              <w:spacing w:after="0" w:line="227" w:lineRule="exact"/>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tcPr>
          <w:p>
            <w:pPr>
              <w:spacing w:after="0"/>
              <w:rPr>
                <w:sz w:val="19"/>
                <w:szCs w:val="19"/>
                <w:color w:val="auto"/>
              </w:rPr>
            </w:pPr>
          </w:p>
        </w:tc>
        <w:tc>
          <w:tcPr>
            <w:tcW w:w="142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604,433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573,775</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399,190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411,591</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176,809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154,866</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2,706</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274,750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271,346</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533,395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549,137</w:t>
            </w:r>
          </w:p>
        </w:tc>
        <w:tc>
          <w:tcPr>
            <w:tcW w:w="0" w:type="dxa"/>
            <w:vAlign w:val="bottom"/>
          </w:tcPr>
          <w:p>
            <w:pPr>
              <w:spacing w:after="0"/>
              <w:rPr>
                <w:sz w:val="1"/>
                <w:szCs w:val="1"/>
                <w:color w:val="auto"/>
              </w:rPr>
            </w:pPr>
          </w:p>
        </w:tc>
      </w:tr>
      <w:tr>
        <w:trPr>
          <w:trHeight w:val="25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4,348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4,812</w:t>
            </w:r>
          </w:p>
        </w:tc>
        <w:tc>
          <w:tcPr>
            <w:tcW w:w="0" w:type="dxa"/>
            <w:vAlign w:val="bottom"/>
          </w:tcPr>
          <w:p>
            <w:pPr>
              <w:spacing w:after="0"/>
              <w:rPr>
                <w:sz w:val="1"/>
                <w:szCs w:val="1"/>
                <w:color w:val="auto"/>
              </w:rPr>
            </w:pPr>
          </w:p>
        </w:tc>
      </w:tr>
      <w:tr>
        <w:trPr>
          <w:trHeight w:val="239"/>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1,993,175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1,968,233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8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127,709</w:t>
            </w:r>
          </w:p>
        </w:tc>
        <w:tc>
          <w:tcPr>
            <w:tcW w:w="100" w:type="dxa"/>
            <w:vAlign w:val="bottom"/>
          </w:tcPr>
          <w:p>
            <w:pPr>
              <w:spacing w:after="0"/>
              <w:rPr>
                <w:sz w:val="21"/>
                <w:szCs w:val="21"/>
                <w:color w:val="auto"/>
              </w:rPr>
            </w:pP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131,307</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Accrued liabilities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85,666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95,155</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Income taxes payable</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6,289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12,076</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Current maturities of long-term debt</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26,545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27,561</w:t>
            </w: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Current operating lease liabilities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18,911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15,446</w:t>
            </w: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265,120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281,545</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678,932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665,268</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164,958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145,459</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141,104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135,993</w:t>
            </w:r>
          </w:p>
        </w:tc>
        <w:tc>
          <w:tcPr>
            <w:tcW w:w="0" w:type="dxa"/>
            <w:vAlign w:val="bottom"/>
          </w:tcPr>
          <w:p>
            <w:pPr>
              <w:spacing w:after="0"/>
              <w:rPr>
                <w:sz w:val="1"/>
                <w:szCs w:val="1"/>
                <w:color w:val="auto"/>
              </w:rPr>
            </w:pPr>
          </w:p>
        </w:tc>
      </w:tr>
      <w:tr>
        <w:trPr>
          <w:trHeight w:val="25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15,703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13,789</w:t>
            </w:r>
          </w:p>
        </w:tc>
        <w:tc>
          <w:tcPr>
            <w:tcW w:w="0" w:type="dxa"/>
            <w:vAlign w:val="bottom"/>
          </w:tcPr>
          <w:p>
            <w:pPr>
              <w:spacing w:after="0"/>
              <w:rPr>
                <w:sz w:val="1"/>
                <w:szCs w:val="1"/>
                <w:color w:val="auto"/>
              </w:rPr>
            </w:pPr>
          </w:p>
        </w:tc>
      </w:tr>
      <w:tr>
        <w:trPr>
          <w:trHeight w:val="227"/>
        </w:trPr>
        <w:tc>
          <w:tcPr>
            <w:tcW w:w="7980" w:type="dxa"/>
            <w:vAlign w:val="bottom"/>
          </w:tcPr>
          <w:p>
            <w:pPr>
              <w:ind w:left="340"/>
              <w:spacing w:after="0" w:line="227" w:lineRule="exact"/>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tcPr>
          <w:p>
            <w:pPr>
              <w:spacing w:after="0"/>
              <w:rPr>
                <w:sz w:val="19"/>
                <w:szCs w:val="19"/>
                <w:color w:val="auto"/>
              </w:rPr>
            </w:pPr>
          </w:p>
        </w:tc>
        <w:tc>
          <w:tcPr>
            <w:tcW w:w="142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1,265,817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1,242,054</w:t>
            </w: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Common stock</w:t>
            </w:r>
          </w:p>
        </w:tc>
        <w:tc>
          <w:tcPr>
            <w:tcW w:w="16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512</w:t>
            </w:r>
          </w:p>
        </w:tc>
        <w:tc>
          <w:tcPr>
            <w:tcW w:w="0" w:type="dxa"/>
            <w:vAlign w:val="bottom"/>
          </w:tcPr>
          <w:p>
            <w:pPr>
              <w:spacing w:after="0"/>
              <w:rPr>
                <w:sz w:val="1"/>
                <w:szCs w:val="1"/>
                <w:color w:val="auto"/>
              </w:rPr>
            </w:pPr>
          </w:p>
        </w:tc>
      </w:tr>
      <w:tr>
        <w:trPr>
          <w:trHeight w:val="257"/>
        </w:trPr>
        <w:tc>
          <w:tcPr>
            <w:tcW w:w="7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Additional paid-in-capital</w:t>
            </w:r>
          </w:p>
        </w:tc>
        <w:tc>
          <w:tcPr>
            <w:tcW w:w="16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696,391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700,029</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6" w:name="page7"/>
    <w:bookmarkEnd w:id="6"/>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45"/>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Retained earnings</w:t>
            </w:r>
          </w:p>
        </w:tc>
        <w:tc>
          <w:tcPr>
            <w:tcW w:w="4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156,641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164,710</w:t>
            </w:r>
          </w:p>
        </w:tc>
      </w:tr>
      <w:tr>
        <w:trPr>
          <w:trHeight w:val="246"/>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(35,439)</w:t>
            </w:r>
          </w:p>
        </w:tc>
      </w:tr>
      <w:tr>
        <w:trPr>
          <w:trHeight w:val="257"/>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Treasury stock at cost</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(98,289)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(103,633)</w:t>
            </w:r>
          </w:p>
        </w:tc>
      </w:tr>
      <w:tr>
        <w:trPr>
          <w:trHeight w:val="24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Total stockholders’ equity</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727,358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726,179</w:t>
            </w:r>
          </w:p>
        </w:tc>
      </w:tr>
      <w:tr>
        <w:trPr>
          <w:trHeight w:val="238"/>
        </w:trPr>
        <w:tc>
          <w:tcPr>
            <w:tcW w:w="7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1,993,175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1,968,233</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w:t>
      </w:r>
    </w:p>
    <w:p>
      <w:pPr>
        <w:jc w:val="center"/>
        <w:spacing w:after="0" w:line="230" w:lineRule="auto"/>
        <w:rPr>
          <w:sz w:val="20"/>
          <w:szCs w:val="20"/>
          <w:color w:val="auto"/>
        </w:rPr>
      </w:pPr>
      <w:r>
        <w:rPr>
          <w:rFonts w:ascii="Times New Roman" w:cs="Times New Roman" w:eastAsia="Times New Roman" w:hAnsi="Times New Roman"/>
          <w:sz w:val="20"/>
          <w:szCs w:val="20"/>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7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Six Months Ended April 30,</w:t>
            </w:r>
          </w:p>
        </w:tc>
        <w:tc>
          <w:tcPr>
            <w:tcW w:w="0" w:type="dxa"/>
            <w:vAlign w:val="bottom"/>
          </w:tcPr>
          <w:p>
            <w:pPr>
              <w:spacing w:after="0"/>
              <w:rPr>
                <w:sz w:val="1"/>
                <w:szCs w:val="1"/>
                <w:color w:val="auto"/>
              </w:rPr>
            </w:pPr>
          </w:p>
        </w:tc>
      </w:tr>
      <w:tr>
        <w:trPr>
          <w:trHeight w:val="239"/>
        </w:trPr>
        <w:tc>
          <w:tcPr>
            <w:tcW w:w="7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25"/>
        </w:trPr>
        <w:tc>
          <w:tcPr>
            <w:tcW w:w="7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income</w:t>
            </w:r>
          </w:p>
        </w:tc>
        <w:tc>
          <w:tcPr>
            <w:tcW w:w="28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5,630</w:t>
            </w:r>
          </w:p>
        </w:tc>
        <w:tc>
          <w:tcPr>
            <w:tcW w:w="0" w:type="dxa"/>
            <w:vAlign w:val="bottom"/>
          </w:tcPr>
          <w:p>
            <w:pPr>
              <w:spacing w:after="0"/>
              <w:rPr>
                <w:sz w:val="1"/>
                <w:szCs w:val="1"/>
                <w:color w:val="auto"/>
              </w:rPr>
            </w:pPr>
          </w:p>
        </w:tc>
      </w:tr>
      <w:tr>
        <w:trPr>
          <w:trHeight w:val="246"/>
        </w:trPr>
        <w:tc>
          <w:tcPr>
            <w:tcW w:w="7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Adjustments to reconcile net loss to cash used for operating activities: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48,899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Stock-based compensation</w:t>
            </w:r>
          </w:p>
        </w:tc>
        <w:tc>
          <w:tcPr>
            <w:tcW w:w="28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1,825</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income tax</w:t>
            </w:r>
          </w:p>
        </w:tc>
        <w:tc>
          <w:tcPr>
            <w:tcW w:w="28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7,243</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(Increase) decrease in accounts receivable</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5,322</w:t>
            </w: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Increase in inventory</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Increase in other current assets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(7,828)</w:t>
            </w: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Decrease in accounts payable</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(14,771)</w:t>
            </w: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Decrease in accrued liabilities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(14,048)</w:t>
            </w:r>
          </w:p>
        </w:tc>
        <w:tc>
          <w:tcPr>
            <w:tcW w:w="0" w:type="dxa"/>
            <w:vAlign w:val="bottom"/>
          </w:tcPr>
          <w:p>
            <w:pPr>
              <w:spacing w:after="0"/>
              <w:rPr>
                <w:sz w:val="1"/>
                <w:szCs w:val="1"/>
                <w:color w:val="auto"/>
              </w:rPr>
            </w:pPr>
          </w:p>
        </w:tc>
      </w:tr>
      <w:tr>
        <w:trPr>
          <w:trHeight w:val="246"/>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Change in income taxes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(5,471)</w:t>
            </w:r>
          </w:p>
        </w:tc>
        <w:tc>
          <w:tcPr>
            <w:tcW w:w="0" w:type="dxa"/>
            <w:vAlign w:val="bottom"/>
          </w:tcPr>
          <w:p>
            <w:pPr>
              <w:spacing w:after="0"/>
              <w:rPr>
                <w:sz w:val="1"/>
                <w:szCs w:val="1"/>
                <w:color w:val="auto"/>
              </w:rPr>
            </w:pPr>
          </w:p>
        </w:tc>
      </w:tr>
      <w:tr>
        <w:trPr>
          <w:trHeight w:val="257"/>
        </w:trPr>
        <w:tc>
          <w:tcPr>
            <w:tcW w:w="7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689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(5,764)</w:t>
            </w:r>
          </w:p>
        </w:tc>
        <w:tc>
          <w:tcPr>
            <w:tcW w:w="0" w:type="dxa"/>
            <w:vAlign w:val="bottom"/>
          </w:tcPr>
          <w:p>
            <w:pPr>
              <w:spacing w:after="0"/>
              <w:rPr>
                <w:sz w:val="1"/>
                <w:szCs w:val="1"/>
                <w:color w:val="auto"/>
              </w:rPr>
            </w:pPr>
          </w:p>
        </w:tc>
      </w:tr>
      <w:tr>
        <w:trPr>
          <w:trHeight w:val="223"/>
        </w:trPr>
        <w:tc>
          <w:tcPr>
            <w:tcW w:w="79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Cash (used for) provided by operating activities</w:t>
            </w:r>
          </w:p>
        </w:tc>
        <w:tc>
          <w:tcPr>
            <w:tcW w:w="2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
              <w:spacing w:after="0" w:line="223" w:lineRule="exact"/>
              <w:rPr>
                <w:sz w:val="20"/>
                <w:szCs w:val="20"/>
                <w:color w:val="auto"/>
              </w:rPr>
            </w:pPr>
            <w:r>
              <w:rPr>
                <w:rFonts w:ascii="Times New Roman" w:cs="Times New Roman" w:eastAsia="Times New Roman" w:hAnsi="Times New Roman"/>
                <w:sz w:val="20"/>
                <w:szCs w:val="20"/>
                <w:color w:val="auto"/>
              </w:rPr>
              <w:t>15,987</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Capital expenditures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(26,544)</w:t>
            </w:r>
          </w:p>
        </w:tc>
        <w:tc>
          <w:tcPr>
            <w:tcW w:w="0" w:type="dxa"/>
            <w:vAlign w:val="bottom"/>
          </w:tcPr>
          <w:p>
            <w:pPr>
              <w:spacing w:after="0"/>
              <w:rPr>
                <w:sz w:val="1"/>
                <w:szCs w:val="1"/>
                <w:color w:val="auto"/>
              </w:rPr>
            </w:pPr>
          </w:p>
        </w:tc>
      </w:tr>
      <w:tr>
        <w:trPr>
          <w:trHeight w:val="257"/>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disposition of capital assets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23"/>
        </w:trPr>
        <w:tc>
          <w:tcPr>
            <w:tcW w:w="79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Cash used for investing activities</w:t>
            </w:r>
          </w:p>
        </w:tc>
        <w:tc>
          <w:tcPr>
            <w:tcW w:w="2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(26,168)</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Borrowings under credit facilities</w:t>
            </w:r>
          </w:p>
        </w:tc>
        <w:tc>
          <w:tcPr>
            <w:tcW w:w="28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119,000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125,000</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Repayments of credit facility borrowings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(117,500)</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Repayments of other long-term debt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Common stock dividends paid</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(7,552)</w:t>
            </w:r>
          </w:p>
        </w:tc>
        <w:tc>
          <w:tcPr>
            <w:tcW w:w="0" w:type="dxa"/>
            <w:vAlign w:val="bottom"/>
          </w:tcPr>
          <w:p>
            <w:pPr>
              <w:spacing w:after="0"/>
              <w:rPr>
                <w:sz w:val="1"/>
                <w:szCs w:val="1"/>
                <w:color w:val="auto"/>
              </w:rPr>
            </w:pPr>
          </w:p>
        </w:tc>
      </w:tr>
      <w:tr>
        <w:trPr>
          <w:trHeight w:val="246"/>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Purchase of treasury stock</w:t>
            </w:r>
          </w:p>
        </w:tc>
        <w:tc>
          <w:tcPr>
            <w:tcW w:w="28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(27,194)</w:t>
            </w:r>
          </w:p>
        </w:tc>
        <w:tc>
          <w:tcPr>
            <w:tcW w:w="0" w:type="dxa"/>
            <w:vAlign w:val="bottom"/>
          </w:tcPr>
          <w:p>
            <w:pPr>
              <w:spacing w:after="0"/>
              <w:rPr>
                <w:sz w:val="1"/>
                <w:szCs w:val="1"/>
                <w:color w:val="auto"/>
              </w:rPr>
            </w:pPr>
          </w:p>
        </w:tc>
      </w:tr>
      <w:tr>
        <w:trPr>
          <w:trHeight w:val="257"/>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(1,186)</w:t>
            </w:r>
          </w:p>
        </w:tc>
        <w:tc>
          <w:tcPr>
            <w:tcW w:w="0" w:type="dxa"/>
            <w:vAlign w:val="bottom"/>
          </w:tcPr>
          <w:p>
            <w:pPr>
              <w:spacing w:after="0"/>
              <w:rPr>
                <w:sz w:val="1"/>
                <w:szCs w:val="1"/>
                <w:color w:val="auto"/>
              </w:rPr>
            </w:pPr>
          </w:p>
        </w:tc>
      </w:tr>
      <w:tr>
        <w:trPr>
          <w:trHeight w:val="227"/>
        </w:trPr>
        <w:tc>
          <w:tcPr>
            <w:tcW w:w="79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Cash provided by (used for) financing activities</w:t>
            </w:r>
          </w:p>
        </w:tc>
        <w:tc>
          <w:tcPr>
            <w:tcW w:w="280" w:type="dxa"/>
            <w:vAlign w:val="bottom"/>
          </w:tcPr>
          <w:p>
            <w:pPr>
              <w:spacing w:after="0"/>
              <w:rPr>
                <w:sz w:val="19"/>
                <w:szCs w:val="19"/>
                <w:color w:val="auto"/>
              </w:rPr>
            </w:pPr>
          </w:p>
        </w:tc>
        <w:tc>
          <w:tcPr>
            <w:tcW w:w="130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9,765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(30,320)</w:t>
            </w:r>
          </w:p>
        </w:tc>
        <w:tc>
          <w:tcPr>
            <w:tcW w:w="0" w:type="dxa"/>
            <w:vAlign w:val="bottom"/>
          </w:tcPr>
          <w:p>
            <w:pPr>
              <w:spacing w:after="0"/>
              <w:rPr>
                <w:sz w:val="1"/>
                <w:szCs w:val="1"/>
                <w:color w:val="auto"/>
              </w:rPr>
            </w:pPr>
          </w:p>
        </w:tc>
      </w:tr>
      <w:tr>
        <w:trPr>
          <w:trHeight w:val="257"/>
        </w:trPr>
        <w:tc>
          <w:tcPr>
            <w:tcW w:w="79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1,680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2,303</w:t>
            </w:r>
          </w:p>
        </w:tc>
        <w:tc>
          <w:tcPr>
            <w:tcW w:w="0" w:type="dxa"/>
            <w:vAlign w:val="bottom"/>
          </w:tcPr>
          <w:p>
            <w:pPr>
              <w:spacing w:after="0"/>
              <w:rPr>
                <w:sz w:val="1"/>
                <w:szCs w:val="1"/>
                <w:color w:val="auto"/>
              </w:rPr>
            </w:pPr>
          </w:p>
        </w:tc>
      </w:tr>
      <w:tr>
        <w:trPr>
          <w:trHeight w:val="227"/>
        </w:trPr>
        <w:tc>
          <w:tcPr>
            <w:tcW w:w="79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Decrease in cash, cash equivalents and restricted cash</w:t>
            </w:r>
          </w:p>
        </w:tc>
        <w:tc>
          <w:tcPr>
            <w:tcW w:w="280" w:type="dxa"/>
            <w:vAlign w:val="bottom"/>
          </w:tcPr>
          <w:p>
            <w:pPr>
              <w:spacing w:after="0"/>
              <w:rPr>
                <w:sz w:val="19"/>
                <w:szCs w:val="19"/>
                <w:color w:val="auto"/>
              </w:rPr>
            </w:pPr>
          </w:p>
        </w:tc>
        <w:tc>
          <w:tcPr>
            <w:tcW w:w="13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(12,134)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(38,198)</w:t>
            </w:r>
          </w:p>
        </w:tc>
        <w:tc>
          <w:tcPr>
            <w:tcW w:w="0" w:type="dxa"/>
            <w:vAlign w:val="bottom"/>
          </w:tcPr>
          <w:p>
            <w:pPr>
              <w:spacing w:after="0"/>
              <w:rPr>
                <w:sz w:val="1"/>
                <w:szCs w:val="1"/>
                <w:color w:val="auto"/>
              </w:rPr>
            </w:pPr>
          </w:p>
        </w:tc>
      </w:tr>
      <w:tr>
        <w:trPr>
          <w:trHeight w:val="25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78,118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102,995</w:t>
            </w:r>
          </w:p>
        </w:tc>
        <w:tc>
          <w:tcPr>
            <w:tcW w:w="0" w:type="dxa"/>
            <w:vAlign w:val="bottom"/>
          </w:tcPr>
          <w:p>
            <w:pPr>
              <w:spacing w:after="0"/>
              <w:rPr>
                <w:sz w:val="1"/>
                <w:szCs w:val="1"/>
                <w:color w:val="auto"/>
              </w:rPr>
            </w:pP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2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65,984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64,797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FREE CASH FLOW AND NET DEBT RECONCILIATION</w:t>
      </w:r>
    </w:p>
    <w:p>
      <w:pPr>
        <w:jc w:val="center"/>
        <w:spacing w:after="0" w:line="230" w:lineRule="auto"/>
        <w:rPr>
          <w:sz w:val="20"/>
          <w:szCs w:val="20"/>
          <w:color w:val="auto"/>
        </w:rPr>
      </w:pPr>
      <w:r>
        <w:rPr>
          <w:rFonts w:ascii="Times New Roman" w:cs="Times New Roman" w:eastAsia="Times New Roman" w:hAnsi="Times New Roman"/>
          <w:sz w:val="20"/>
          <w:szCs w:val="20"/>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auto"/>
        </w:rPr>
        <w:t>The following table reconciles the Company's calculation of Free Cash Flow, a non-GAAP measure, to its most directly comparable GAAP measure. The Company defines Free Cash Flow as cash provided by operating activities less capital expenditures.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3400" w:type="dxa"/>
            <w:vAlign w:val="bottom"/>
            <w:gridSpan w:val="5"/>
          </w:tcPr>
          <w:p>
            <w:pPr>
              <w:ind w:left="360"/>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3220" w:type="dxa"/>
            <w:vAlign w:val="bottom"/>
            <w:gridSpan w:val="3"/>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Six Months Ended April 30,</w:t>
            </w:r>
          </w:p>
        </w:tc>
      </w:tr>
      <w:tr>
        <w:trPr>
          <w:trHeight w:val="239"/>
        </w:trPr>
        <w:tc>
          <w:tcPr>
            <w:tcW w:w="46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25"/>
        </w:trPr>
        <w:tc>
          <w:tcPr>
            <w:tcW w:w="46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Cash (used for) provided by operating activities</w:t>
            </w:r>
          </w:p>
        </w:tc>
        <w:tc>
          <w:tcPr>
            <w:tcW w:w="1580" w:type="dxa"/>
            <w:vAlign w:val="bottom"/>
          </w:tcPr>
          <w:p>
            <w:pPr>
              <w:jc w:val="right"/>
              <w:ind w:right="22"/>
              <w:spacing w:after="0" w:line="226" w:lineRule="exact"/>
              <w:rPr>
                <w:sz w:val="20"/>
                <w:szCs w:val="20"/>
                <w:color w:val="auto"/>
              </w:rPr>
            </w:pPr>
            <w:r>
              <w:rPr>
                <w:rFonts w:ascii="Times New Roman" w:cs="Times New Roman" w:eastAsia="Times New Roman" w:hAnsi="Times New Roman"/>
                <w:sz w:val="20"/>
                <w:szCs w:val="20"/>
                <w:color w:val="auto"/>
              </w:rPr>
              <w:t>18,922</w:t>
            </w:r>
          </w:p>
        </w:tc>
        <w:tc>
          <w:tcPr>
            <w:tcW w:w="140" w:type="dxa"/>
            <w:vAlign w:val="bottom"/>
          </w:tcPr>
          <w:p>
            <w:pPr>
              <w:spacing w:after="0"/>
              <w:rPr>
                <w:sz w:val="19"/>
                <w:szCs w:val="19"/>
                <w:color w:val="auto"/>
              </w:rPr>
            </w:pPr>
          </w:p>
        </w:tc>
        <w:tc>
          <w:tcPr>
            <w:tcW w:w="360" w:type="dxa"/>
            <w:vAlign w:val="bottom"/>
          </w:tcPr>
          <w:p>
            <w:pPr>
              <w:jc w:val="right"/>
              <w:ind w:right="142"/>
              <w:spacing w:after="0" w:line="226" w:lineRule="exact"/>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line="226" w:lineRule="exact"/>
              <w:rPr>
                <w:sz w:val="20"/>
                <w:szCs w:val="20"/>
                <w:color w:val="auto"/>
              </w:rPr>
            </w:pPr>
            <w:r>
              <w:rPr>
                <w:rFonts w:ascii="Times New Roman" w:cs="Times New Roman" w:eastAsia="Times New Roman" w:hAnsi="Times New Roman"/>
                <w:sz w:val="20"/>
                <w:szCs w:val="20"/>
                <w:color w:val="auto"/>
              </w:rPr>
              <w:t>28,497</w:t>
            </w:r>
          </w:p>
        </w:tc>
        <w:tc>
          <w:tcPr>
            <w:tcW w:w="120" w:type="dxa"/>
            <w:vAlign w:val="bottom"/>
          </w:tcPr>
          <w:p>
            <w:pPr>
              <w:spacing w:after="0"/>
              <w:rPr>
                <w:sz w:val="19"/>
                <w:szCs w:val="19"/>
                <w:color w:val="auto"/>
              </w:rPr>
            </w:pPr>
          </w:p>
        </w:tc>
        <w:tc>
          <w:tcPr>
            <w:tcW w:w="15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(1,286)</w:t>
            </w:r>
          </w:p>
        </w:tc>
        <w:tc>
          <w:tcPr>
            <w:tcW w:w="100" w:type="dxa"/>
            <w:vAlign w:val="bottom"/>
          </w:tcPr>
          <w:p>
            <w:pPr>
              <w:spacing w:after="0"/>
              <w:rPr>
                <w:sz w:val="19"/>
                <w:szCs w:val="19"/>
                <w:color w:val="auto"/>
              </w:rPr>
            </w:pPr>
          </w:p>
        </w:tc>
        <w:tc>
          <w:tcPr>
            <w:tcW w:w="1560" w:type="dxa"/>
            <w:vAlign w:val="bottom"/>
          </w:tcPr>
          <w:p>
            <w:pPr>
              <w:jc w:val="right"/>
              <w:ind w:right="2"/>
              <w:spacing w:after="0" w:line="226" w:lineRule="exact"/>
              <w:rPr>
                <w:sz w:val="20"/>
                <w:szCs w:val="20"/>
                <w:color w:val="auto"/>
              </w:rPr>
            </w:pPr>
            <w:r>
              <w:rPr>
                <w:rFonts w:ascii="Times New Roman" w:cs="Times New Roman" w:eastAsia="Times New Roman" w:hAnsi="Times New Roman"/>
                <w:sz w:val="20"/>
                <w:szCs w:val="20"/>
                <w:color w:val="auto"/>
              </w:rPr>
              <w:t>15,987</w:t>
            </w:r>
          </w:p>
        </w:tc>
      </w:tr>
      <w:tr>
        <w:trPr>
          <w:trHeight w:val="257"/>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(11,028)</w:t>
            </w:r>
          </w:p>
        </w:tc>
        <w:tc>
          <w:tcPr>
            <w:tcW w:w="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(14,920)</w:t>
            </w: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(22,322)</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(26,544)</w:t>
            </w:r>
          </w:p>
        </w:tc>
      </w:tr>
      <w:tr>
        <w:trPr>
          <w:trHeight w:val="255"/>
        </w:trPr>
        <w:tc>
          <w:tcPr>
            <w:tcW w:w="4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Free Cash Flow</w:t>
            </w:r>
          </w:p>
        </w:tc>
        <w:tc>
          <w:tcPr>
            <w:tcW w:w="158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7,894</w:t>
            </w:r>
          </w:p>
        </w:tc>
        <w:tc>
          <w:tcPr>
            <w:tcW w:w="140" w:type="dxa"/>
            <w:vAlign w:val="bottom"/>
          </w:tcPr>
          <w:p>
            <w:pPr>
              <w:spacing w:after="0"/>
              <w:rPr>
                <w:sz w:val="22"/>
                <w:szCs w:val="22"/>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13,577</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(23,608)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(10,557)</w:t>
            </w:r>
          </w:p>
        </w:tc>
      </w:tr>
    </w:tbl>
    <w:p>
      <w:pPr>
        <w:spacing w:after="0" w:line="200" w:lineRule="exact"/>
        <w:rPr>
          <w:sz w:val="20"/>
          <w:szCs w:val="20"/>
          <w:color w:val="auto"/>
        </w:rPr>
      </w:pP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The following table reconciles the Company's Net Debt which is defined as total debt principal of the Company plus finance lease obligations minus cash.</w:t>
      </w:r>
    </w:p>
    <w:p>
      <w:pPr>
        <w:sectPr>
          <w:pgSz w:w="11900" w:h="16838" w:orient="portrait"/>
          <w:cols w:equalWidth="0" w:num="1">
            <w:col w:w="11240"/>
          </w:cols>
          <w:pgMar w:left="320" w:top="115" w:right="339" w:bottom="0" w:gutter="0" w:footer="0" w:header="0"/>
        </w:sectPr>
      </w:pPr>
    </w:p>
    <w:bookmarkStart w:id="7" w:name="page8"/>
    <w:bookmarkEnd w:id="7"/>
    <w:tbl>
      <w:tblPr>
        <w:tblLayout w:type="fixed"/>
        <w:tblInd w:w="22" w:type="dxa"/>
        <w:tblCellMar>
          <w:top w:w="0" w:type="dxa"/>
          <w:left w:w="0" w:type="dxa"/>
          <w:bottom w:w="0" w:type="dxa"/>
          <w:right w:w="0" w:type="dxa"/>
        </w:tblCellMar>
      </w:tblPr>
      <w:tr>
        <w:trPr>
          <w:trHeight w:val="261"/>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As of April 30,</w:t>
            </w:r>
          </w:p>
        </w:tc>
        <w:tc>
          <w:tcPr>
            <w:tcW w:w="1000" w:type="dxa"/>
            <w:vAlign w:val="bottom"/>
            <w:tcBorders>
              <w:bottom w:val="single" w:sz="8" w:color="auto"/>
            </w:tcBorders>
          </w:tcPr>
          <w:p>
            <w:pPr>
              <w:spacing w:after="0"/>
              <w:rPr>
                <w:sz w:val="22"/>
                <w:szCs w:val="22"/>
                <w:color w:val="auto"/>
              </w:rPr>
            </w:pPr>
          </w:p>
        </w:tc>
      </w:tr>
      <w:tr>
        <w:trPr>
          <w:trHeight w:val="239"/>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w w:val="99"/>
              </w:rPr>
              <w:t>2025</w:t>
            </w:r>
          </w:p>
        </w:tc>
      </w:tr>
      <w:tr>
        <w:trPr>
          <w:trHeight w:val="225"/>
        </w:trPr>
        <w:tc>
          <w:tcPr>
            <w:tcW w:w="79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Term loan facility</w:t>
            </w:r>
          </w:p>
        </w:tc>
        <w:tc>
          <w:tcPr>
            <w:tcW w:w="360" w:type="dxa"/>
            <w:vAlign w:val="bottom"/>
          </w:tcPr>
          <w:p>
            <w:pPr>
              <w:jc w:val="right"/>
              <w:ind w:right="142"/>
              <w:spacing w:after="0" w:line="226" w:lineRule="exact"/>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ind w:right="22"/>
              <w:spacing w:after="0" w:line="226" w:lineRule="exact"/>
              <w:rPr>
                <w:sz w:val="20"/>
                <w:szCs w:val="20"/>
                <w:color w:val="auto"/>
              </w:rPr>
            </w:pPr>
            <w:r>
              <w:rPr>
                <w:rFonts w:ascii="Times New Roman" w:cs="Times New Roman" w:eastAsia="Times New Roman" w:hAnsi="Times New Roman"/>
                <w:sz w:val="20"/>
                <w:szCs w:val="20"/>
                <w:color w:val="auto"/>
              </w:rPr>
              <w:t>456,250</w:t>
            </w:r>
          </w:p>
        </w:tc>
        <w:tc>
          <w:tcPr>
            <w:tcW w:w="100" w:type="dxa"/>
            <w:vAlign w:val="bottom"/>
          </w:tcPr>
          <w:p>
            <w:pPr>
              <w:spacing w:after="0"/>
              <w:rPr>
                <w:sz w:val="19"/>
                <w:szCs w:val="19"/>
                <w:color w:val="auto"/>
              </w:rPr>
            </w:pPr>
          </w:p>
        </w:tc>
        <w:tc>
          <w:tcPr>
            <w:tcW w:w="560" w:type="dxa"/>
            <w:vAlign w:val="bottom"/>
          </w:tcPr>
          <w:p>
            <w:pPr>
              <w:jc w:val="right"/>
              <w:ind w:right="342"/>
              <w:spacing w:after="0" w:line="226"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22"/>
              <w:spacing w:after="0" w:line="226" w:lineRule="exact"/>
              <w:rPr>
                <w:sz w:val="20"/>
                <w:szCs w:val="20"/>
                <w:color w:val="auto"/>
              </w:rPr>
            </w:pPr>
            <w:r>
              <w:rPr>
                <w:rFonts w:ascii="Times New Roman" w:cs="Times New Roman" w:eastAsia="Times New Roman" w:hAnsi="Times New Roman"/>
                <w:sz w:val="20"/>
                <w:szCs w:val="20"/>
                <w:color w:val="auto"/>
              </w:rPr>
              <w:t>481,205</w:t>
            </w:r>
          </w:p>
        </w:tc>
      </w:t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Revolving credit facility</w:t>
            </w:r>
          </w:p>
        </w:tc>
        <w:tc>
          <w:tcPr>
            <w:tcW w:w="360" w:type="dxa"/>
            <w:vAlign w:val="bottom"/>
          </w:tcPr>
          <w:p>
            <w:pPr>
              <w:spacing w:after="0"/>
              <w:rPr>
                <w:sz w:val="21"/>
                <w:szCs w:val="21"/>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204,500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242,500</w:t>
            </w:r>
          </w:p>
        </w:tc>
      </w:tr>
      <w:tr>
        <w:trPr>
          <w:trHeight w:val="25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obligations (1)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54,294</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61,272</w:t>
            </w:r>
          </w:p>
        </w:tc>
      </w:tr>
      <w:tr>
        <w:trPr>
          <w:trHeight w:val="227"/>
        </w:trPr>
        <w:tc>
          <w:tcPr>
            <w:tcW w:w="79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Total debt (2)</w:t>
            </w:r>
          </w:p>
        </w:tc>
        <w:tc>
          <w:tcPr>
            <w:tcW w:w="360" w:type="dxa"/>
            <w:vAlign w:val="bottom"/>
          </w:tcPr>
          <w:p>
            <w:pPr>
              <w:spacing w:after="0"/>
              <w:rPr>
                <w:sz w:val="19"/>
                <w:szCs w:val="19"/>
                <w:color w:val="auto"/>
              </w:rPr>
            </w:pPr>
          </w:p>
        </w:tc>
        <w:tc>
          <w:tcPr>
            <w:tcW w:w="122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715,044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784,977</w:t>
            </w:r>
          </w:p>
        </w:tc>
      </w:tr>
      <w:tr>
        <w:trPr>
          <w:trHeight w:val="25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Less: Cash and cash equivalents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63,671</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62,626</w:t>
            </w:r>
          </w:p>
        </w:tc>
      </w:tr>
      <w:tr>
        <w:trPr>
          <w:trHeight w:val="255"/>
        </w:trPr>
        <w:tc>
          <w:tcPr>
            <w:tcW w:w="7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Debt</w:t>
            </w:r>
          </w:p>
        </w:tc>
        <w:tc>
          <w:tcPr>
            <w:tcW w:w="36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651,373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722,351</w:t>
            </w:r>
          </w:p>
        </w:tc>
      </w:tr>
    </w:tbl>
    <w:p>
      <w:pPr>
        <w:spacing w:after="0" w:line="200" w:lineRule="exact"/>
        <w:rPr>
          <w:sz w:val="20"/>
          <w:szCs w:val="20"/>
          <w:color w:val="auto"/>
        </w:rPr>
      </w:pPr>
    </w:p>
    <w:p>
      <w:pPr>
        <w:spacing w:after="0" w:line="202" w:lineRule="exact"/>
        <w:rPr>
          <w:sz w:val="20"/>
          <w:szCs w:val="20"/>
          <w:color w:val="auto"/>
        </w:rPr>
      </w:pPr>
    </w:p>
    <w:p>
      <w:pPr>
        <w:ind w:left="2" w:right="420" w:hanging="2"/>
        <w:spacing w:after="0" w:line="242" w:lineRule="auto"/>
        <w:tabs>
          <w:tab w:leader="none" w:pos="2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$48.6 million and $57.4 million in real estate lease liabilities considered finance leases under U.S. GAAP as of April 30, 2026 and 2025, respectively.</w:t>
      </w:r>
    </w:p>
    <w:p>
      <w:pPr>
        <w:ind w:left="282" w:hanging="282"/>
        <w:spacing w:after="0"/>
        <w:tabs>
          <w:tab w:leader="none" w:pos="28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outstanding letters of credit.</w:t>
      </w:r>
    </w:p>
    <w:p>
      <w:pPr>
        <w:spacing w:after="0" w:line="200" w:lineRule="exact"/>
        <w:rPr>
          <w:sz w:val="20"/>
          <w:szCs w:val="20"/>
          <w:color w:val="auto"/>
        </w:rPr>
      </w:pPr>
    </w:p>
    <w:p>
      <w:pPr>
        <w:spacing w:after="0" w:line="220"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NON-GAAP FINANCIAL MEASURE DISCLOSURE</w:t>
      </w:r>
    </w:p>
    <w:p>
      <w:pPr>
        <w:jc w:val="center"/>
        <w:ind w:right="98"/>
        <w:spacing w:after="0" w:line="230" w:lineRule="auto"/>
        <w:rPr>
          <w:sz w:val="20"/>
          <w:szCs w:val="20"/>
          <w:color w:val="auto"/>
        </w:rPr>
      </w:pPr>
      <w:r>
        <w:rPr>
          <w:rFonts w:ascii="Times New Roman" w:cs="Times New Roman" w:eastAsia="Times New Roman" w:hAnsi="Times New Roman"/>
          <w:sz w:val="20"/>
          <w:szCs w:val="20"/>
          <w:b w:val="1"/>
          <w:bCs w:val="1"/>
          <w:color w:val="auto"/>
        </w:rPr>
        <w:t>LAST TWELVE MONTHS ADJUSTED EBITDA RECONCILIATION</w:t>
      </w:r>
    </w:p>
    <w:p>
      <w:pPr>
        <w:jc w:val="center"/>
        <w:ind w:right="78"/>
        <w:spacing w:after="0" w:line="231" w:lineRule="auto"/>
        <w:rPr>
          <w:sz w:val="20"/>
          <w:szCs w:val="20"/>
          <w:color w:val="auto"/>
        </w:rPr>
      </w:pPr>
      <w:r>
        <w:rPr>
          <w:rFonts w:ascii="Times New Roman" w:cs="Times New Roman" w:eastAsia="Times New Roman" w:hAnsi="Times New Roman"/>
          <w:sz w:val="20"/>
          <w:szCs w:val="20"/>
          <w:color w:val="auto"/>
        </w:rPr>
        <w:t>(In thousands, except per share data)</w:t>
      </w:r>
    </w:p>
    <w:p>
      <w:pPr>
        <w:spacing w:after="0" w:line="1"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0"/>
          <w:szCs w:val="20"/>
          <w:color w:val="auto"/>
        </w:rPr>
        <w:t>(Unaudited)</w:t>
      </w:r>
    </w:p>
    <w:p>
      <w:pPr>
        <w:spacing w:after="0" w:line="233" w:lineRule="exact"/>
        <w:rPr>
          <w:sz w:val="20"/>
          <w:szCs w:val="20"/>
          <w:color w:val="auto"/>
        </w:rPr>
      </w:pPr>
    </w:p>
    <w:tbl>
      <w:tblPr>
        <w:tblLayout w:type="fixed"/>
        <w:tblInd w:w="22" w:type="dxa"/>
        <w:tblCellMar>
          <w:top w:w="0" w:type="dxa"/>
          <w:left w:w="0" w:type="dxa"/>
          <w:bottom w:w="0" w:type="dxa"/>
          <w:right w:w="0" w:type="dxa"/>
        </w:tblCellMar>
      </w:tblPr>
      <w:tr>
        <w:trPr>
          <w:trHeight w:val="217"/>
        </w:trPr>
        <w:tc>
          <w:tcPr>
            <w:tcW w:w="2940" w:type="dxa"/>
            <w:vAlign w:val="bottom"/>
            <w:tcBorders>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82"/>
              <w:spacing w:after="0" w:line="217" w:lineRule="exact"/>
              <w:rPr>
                <w:sz w:val="20"/>
                <w:szCs w:val="20"/>
                <w:color w:val="auto"/>
              </w:rPr>
            </w:pPr>
            <w:r>
              <w:rPr>
                <w:rFonts w:ascii="Times New Roman" w:cs="Times New Roman" w:eastAsia="Times New Roman" w:hAnsi="Times New Roman"/>
                <w:sz w:val="20"/>
                <w:szCs w:val="20"/>
                <w:b w:val="1"/>
                <w:bCs w:val="1"/>
                <w:color w:val="auto"/>
                <w:w w:val="98"/>
              </w:rPr>
              <w:t>Three Months</w:t>
            </w:r>
          </w:p>
        </w:tc>
        <w:tc>
          <w:tcPr>
            <w:tcW w:w="120" w:type="dxa"/>
            <w:vAlign w:val="bottom"/>
            <w:tcBorders>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82"/>
              <w:spacing w:after="0" w:line="217" w:lineRule="exact"/>
              <w:rPr>
                <w:sz w:val="20"/>
                <w:szCs w:val="20"/>
                <w:color w:val="auto"/>
              </w:rPr>
            </w:pPr>
            <w:r>
              <w:rPr>
                <w:rFonts w:ascii="Times New Roman" w:cs="Times New Roman" w:eastAsia="Times New Roman" w:hAnsi="Times New Roman"/>
                <w:sz w:val="20"/>
                <w:szCs w:val="20"/>
                <w:b w:val="1"/>
                <w:bCs w:val="1"/>
                <w:color w:val="auto"/>
                <w:w w:val="96"/>
              </w:rPr>
              <w:t>Three Months</w:t>
            </w:r>
          </w:p>
        </w:tc>
        <w:tc>
          <w:tcPr>
            <w:tcW w:w="10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42"/>
              <w:spacing w:after="0" w:line="217" w:lineRule="exact"/>
              <w:rPr>
                <w:sz w:val="20"/>
                <w:szCs w:val="20"/>
                <w:color w:val="auto"/>
              </w:rPr>
            </w:pPr>
            <w:r>
              <w:rPr>
                <w:rFonts w:ascii="Times New Roman" w:cs="Times New Roman" w:eastAsia="Times New Roman" w:hAnsi="Times New Roman"/>
                <w:sz w:val="20"/>
                <w:szCs w:val="20"/>
                <w:b w:val="1"/>
                <w:bCs w:val="1"/>
                <w:color w:val="auto"/>
                <w:w w:val="96"/>
              </w:rPr>
              <w:t>Three Months</w:t>
            </w:r>
          </w:p>
        </w:tc>
        <w:tc>
          <w:tcPr>
            <w:tcW w:w="12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62"/>
              <w:spacing w:after="0" w:line="217" w:lineRule="exact"/>
              <w:rPr>
                <w:sz w:val="20"/>
                <w:szCs w:val="20"/>
                <w:color w:val="auto"/>
              </w:rPr>
            </w:pPr>
            <w:r>
              <w:rPr>
                <w:rFonts w:ascii="Times New Roman" w:cs="Times New Roman" w:eastAsia="Times New Roman" w:hAnsi="Times New Roman"/>
                <w:sz w:val="20"/>
                <w:szCs w:val="20"/>
                <w:b w:val="1"/>
                <w:bCs w:val="1"/>
                <w:color w:val="auto"/>
                <w:w w:val="98"/>
              </w:rPr>
              <w:t>Three Months</w:t>
            </w:r>
          </w:p>
        </w:tc>
        <w:tc>
          <w:tcPr>
            <w:tcW w:w="100" w:type="dxa"/>
            <w:vAlign w:val="bottom"/>
            <w:tcBorders>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spacing w:after="0"/>
              <w:rPr>
                <w:sz w:val="18"/>
                <w:szCs w:val="18"/>
                <w:color w:val="auto"/>
              </w:rPr>
            </w:pPr>
          </w:p>
        </w:tc>
      </w:tr>
      <w:tr>
        <w:trPr>
          <w:trHeight w:val="221"/>
        </w:trPr>
        <w:tc>
          <w:tcPr>
            <w:tcW w:w="2940" w:type="dxa"/>
            <w:vAlign w:val="bottom"/>
            <w:tcBorders>
              <w:right w:val="single" w:sz="8" w:color="auto"/>
            </w:tcBorders>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Reconciliation of Last Twelve</w:t>
            </w:r>
          </w:p>
        </w:tc>
        <w:tc>
          <w:tcPr>
            <w:tcW w:w="140" w:type="dxa"/>
            <w:vAlign w:val="bottom"/>
          </w:tcPr>
          <w:p>
            <w:pPr>
              <w:spacing w:after="0"/>
              <w:rPr>
                <w:sz w:val="19"/>
                <w:szCs w:val="19"/>
                <w:color w:val="auto"/>
              </w:rPr>
            </w:pPr>
          </w:p>
        </w:tc>
        <w:tc>
          <w:tcPr>
            <w:tcW w:w="1460" w:type="dxa"/>
            <w:vAlign w:val="bottom"/>
            <w:tcBorders>
              <w:right w:val="single" w:sz="8" w:color="auto"/>
            </w:tcBorders>
          </w:tcPr>
          <w:p>
            <w:pPr>
              <w:jc w:val="center"/>
              <w:ind w:right="82"/>
              <w:spacing w:after="0" w:line="221" w:lineRule="exact"/>
              <w:rPr>
                <w:sz w:val="20"/>
                <w:szCs w:val="20"/>
                <w:color w:val="auto"/>
              </w:rPr>
            </w:pPr>
            <w:r>
              <w:rPr>
                <w:rFonts w:ascii="Times New Roman" w:cs="Times New Roman" w:eastAsia="Times New Roman" w:hAnsi="Times New Roman"/>
                <w:sz w:val="20"/>
                <w:szCs w:val="20"/>
                <w:b w:val="1"/>
                <w:bCs w:val="1"/>
                <w:color w:val="auto"/>
              </w:rPr>
              <w:t>Ended</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Borders>
              <w:right w:val="single" w:sz="8" w:color="auto"/>
            </w:tcBorders>
          </w:tcPr>
          <w:p>
            <w:pPr>
              <w:jc w:val="center"/>
              <w:ind w:right="82"/>
              <w:spacing w:after="0" w:line="221" w:lineRule="exact"/>
              <w:rPr>
                <w:sz w:val="20"/>
                <w:szCs w:val="20"/>
                <w:color w:val="auto"/>
              </w:rPr>
            </w:pPr>
            <w:r>
              <w:rPr>
                <w:rFonts w:ascii="Times New Roman" w:cs="Times New Roman" w:eastAsia="Times New Roman" w:hAnsi="Times New Roman"/>
                <w:sz w:val="20"/>
                <w:szCs w:val="20"/>
                <w:b w:val="1"/>
                <w:bCs w:val="1"/>
                <w:color w:val="auto"/>
                <w:w w:val="97"/>
              </w:rPr>
              <w:t>Ended</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right w:val="single" w:sz="8" w:color="auto"/>
            </w:tcBorders>
          </w:tcPr>
          <w:p>
            <w:pPr>
              <w:jc w:val="center"/>
              <w:ind w:right="42"/>
              <w:spacing w:after="0" w:line="221" w:lineRule="exact"/>
              <w:rPr>
                <w:sz w:val="20"/>
                <w:szCs w:val="20"/>
                <w:color w:val="auto"/>
              </w:rPr>
            </w:pPr>
            <w:r>
              <w:rPr>
                <w:rFonts w:ascii="Times New Roman" w:cs="Times New Roman" w:eastAsia="Times New Roman" w:hAnsi="Times New Roman"/>
                <w:sz w:val="20"/>
                <w:szCs w:val="20"/>
                <w:b w:val="1"/>
                <w:bCs w:val="1"/>
                <w:color w:val="auto"/>
                <w:w w:val="97"/>
              </w:rPr>
              <w:t>Ended</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right w:val="single" w:sz="8" w:color="auto"/>
            </w:tcBorders>
          </w:tcPr>
          <w:p>
            <w:pPr>
              <w:jc w:val="center"/>
              <w:ind w:right="62"/>
              <w:spacing w:after="0" w:line="221" w:lineRule="exact"/>
              <w:rPr>
                <w:sz w:val="20"/>
                <w:szCs w:val="20"/>
                <w:color w:val="auto"/>
              </w:rPr>
            </w:pPr>
            <w:r>
              <w:rPr>
                <w:rFonts w:ascii="Times New Roman" w:cs="Times New Roman" w:eastAsia="Times New Roman" w:hAnsi="Times New Roman"/>
                <w:sz w:val="20"/>
                <w:szCs w:val="20"/>
                <w:b w:val="1"/>
                <w:bCs w:val="1"/>
                <w:color w:val="auto"/>
              </w:rPr>
              <w:t>Ended</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61"/>
        </w:trPr>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Months Adjusted EBITDA</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center"/>
              <w:ind w:right="82"/>
              <w:spacing w:after="0"/>
              <w:rPr>
                <w:sz w:val="20"/>
                <w:szCs w:val="20"/>
                <w:color w:val="auto"/>
              </w:rPr>
            </w:pPr>
            <w:r>
              <w:rPr>
                <w:rFonts w:ascii="Times New Roman" w:cs="Times New Roman" w:eastAsia="Times New Roman" w:hAnsi="Times New Roman"/>
                <w:sz w:val="20"/>
                <w:szCs w:val="20"/>
                <w:b w:val="1"/>
                <w:bCs w:val="1"/>
                <w:color w:val="auto"/>
                <w:w w:val="99"/>
              </w:rPr>
              <w:t>April 30, 2026</w:t>
            </w:r>
          </w:p>
        </w:tc>
        <w:tc>
          <w:tcPr>
            <w:tcW w:w="120" w:type="dxa"/>
            <w:vAlign w:val="bottom"/>
            <w:tcBorders>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January 31, 2026</w:t>
            </w:r>
          </w:p>
        </w:tc>
        <w:tc>
          <w:tcPr>
            <w:tcW w:w="100" w:type="dxa"/>
            <w:vAlign w:val="bottom"/>
            <w:tcBorders>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October 31, 2025</w:t>
            </w:r>
          </w:p>
        </w:tc>
        <w:tc>
          <w:tcPr>
            <w:tcW w:w="12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8"/>
              </w:rPr>
              <w:t>July 31, 2025</w:t>
            </w:r>
          </w:p>
        </w:tc>
        <w:tc>
          <w:tcPr>
            <w:tcW w:w="100" w:type="dxa"/>
            <w:vAlign w:val="bottom"/>
            <w:tcBorders>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40"/>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82"/>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w w:val="99"/>
              </w:rPr>
              <w:t>Reconciliation</w:t>
            </w:r>
          </w:p>
        </w:tc>
      </w:tr>
      <w:tr>
        <w:trPr>
          <w:trHeight w:val="225"/>
        </w:trPr>
        <w:tc>
          <w:tcPr>
            <w:tcW w:w="29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Net income (loss) as reported</w:t>
            </w:r>
          </w:p>
        </w:tc>
        <w:tc>
          <w:tcPr>
            <w:tcW w:w="1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3,350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(4,071)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tcPr>
          <w:p>
            <w:pPr>
              <w:jc w:val="right"/>
              <w:ind w:right="22"/>
              <w:spacing w:after="0" w:line="226" w:lineRule="exact"/>
              <w:rPr>
                <w:sz w:val="20"/>
                <w:szCs w:val="20"/>
                <w:color w:val="auto"/>
              </w:rPr>
            </w:pPr>
            <w:r>
              <w:rPr>
                <w:rFonts w:ascii="Times New Roman" w:cs="Times New Roman" w:eastAsia="Times New Roman" w:hAnsi="Times New Roman"/>
                <w:sz w:val="20"/>
                <w:szCs w:val="20"/>
                <w:color w:val="auto"/>
              </w:rPr>
              <w:t>19,571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(276,007)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(257,157)</w:t>
            </w: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4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3,766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10,895</w:t>
            </w: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(12,166)</w:t>
            </w: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12,042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12,367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13,468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14,218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52,095</w:t>
            </w: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24,650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24,249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25,630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33,882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108,411</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charges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302,284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302,284</w:t>
            </w:r>
          </w:p>
        </w:tc>
      </w:tr>
      <w:tr>
        <w:trPr>
          <w:trHeight w:val="227"/>
        </w:trPr>
        <w:tc>
          <w:tcPr>
            <w:tcW w:w="29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140" w:type="dxa"/>
            <w:vAlign w:val="bottom"/>
          </w:tcPr>
          <w:p>
            <w:pPr>
              <w:spacing w:after="0"/>
              <w:rPr>
                <w:sz w:val="19"/>
                <w:szCs w:val="19"/>
                <w:color w:val="auto"/>
              </w:rPr>
            </w:pPr>
          </w:p>
        </w:tc>
        <w:tc>
          <w:tcPr>
            <w:tcW w:w="1460" w:type="dxa"/>
            <w:vAlign w:val="bottom"/>
          </w:tcPr>
          <w:p>
            <w:pPr>
              <w:jc w:val="right"/>
              <w:ind w:right="42"/>
              <w:spacing w:after="0" w:line="227" w:lineRule="exact"/>
              <w:rPr>
                <w:sz w:val="20"/>
                <w:szCs w:val="20"/>
                <w:color w:val="auto"/>
              </w:rPr>
            </w:pPr>
            <w:r>
              <w:rPr>
                <w:rFonts w:ascii="Times New Roman" w:cs="Times New Roman" w:eastAsia="Times New Roman" w:hAnsi="Times New Roman"/>
                <w:sz w:val="20"/>
                <w:szCs w:val="20"/>
                <w:color w:val="auto"/>
              </w:rPr>
              <w:t>43,360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42"/>
              <w:spacing w:after="0" w:line="227" w:lineRule="exact"/>
              <w:rPr>
                <w:sz w:val="20"/>
                <w:szCs w:val="20"/>
                <w:color w:val="auto"/>
              </w:rPr>
            </w:pPr>
            <w:r>
              <w:rPr>
                <w:rFonts w:ascii="Times New Roman" w:cs="Times New Roman" w:eastAsia="Times New Roman" w:hAnsi="Times New Roman"/>
                <w:sz w:val="20"/>
                <w:szCs w:val="20"/>
                <w:color w:val="auto"/>
              </w:rPr>
              <w:t>27,101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68,570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42"/>
              <w:spacing w:after="0" w:line="227" w:lineRule="exact"/>
              <w:rPr>
                <w:sz w:val="20"/>
                <w:szCs w:val="20"/>
                <w:color w:val="auto"/>
              </w:rPr>
            </w:pPr>
            <w:r>
              <w:rPr>
                <w:rFonts w:ascii="Times New Roman" w:cs="Times New Roman" w:eastAsia="Times New Roman" w:hAnsi="Times New Roman"/>
                <w:sz w:val="20"/>
                <w:szCs w:val="20"/>
                <w:color w:val="auto"/>
              </w:rPr>
              <w:t>65,331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204,362</w:t>
            </w: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 (1)</w:t>
            </w:r>
          </w:p>
        </w:tc>
        <w:tc>
          <w:tcPr>
            <w:tcW w:w="14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984</w:t>
            </w:r>
          </w:p>
        </w:tc>
      </w:tr>
      <w:tr>
        <w:trPr>
          <w:trHeight w:val="221"/>
        </w:trPr>
        <w:tc>
          <w:tcPr>
            <w:tcW w:w="29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Selling, general and administrative</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1"/>
                <w:szCs w:val="21"/>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6,067</w:t>
            </w:r>
          </w:p>
        </w:tc>
      </w:tr>
      <w:tr>
        <w:trPr>
          <w:trHeight w:val="258"/>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(credit) charges (3)</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1,367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1,351</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44,169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27,382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70,918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70,295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212,764</w:t>
            </w: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82" w:hanging="282"/>
        <w:spacing w:after="0"/>
        <w:tabs>
          <w:tab w:leader="none" w:pos="28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related to plant closure/relocation.</w:t>
      </w:r>
    </w:p>
    <w:p>
      <w:pPr>
        <w:spacing w:after="0" w:line="13" w:lineRule="exact"/>
        <w:rPr>
          <w:rFonts w:ascii="Times New Roman" w:cs="Times New Roman" w:eastAsia="Times New Roman" w:hAnsi="Times New Roman"/>
          <w:sz w:val="20"/>
          <w:szCs w:val="20"/>
          <w:color w:val="auto"/>
        </w:rPr>
      </w:pPr>
    </w:p>
    <w:p>
      <w:pPr>
        <w:ind w:left="282" w:hanging="282"/>
        <w:spacing w:after="0" w:line="230" w:lineRule="auto"/>
        <w:tabs>
          <w:tab w:leader="none" w:pos="28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advisory fees, reorganization costs and product recall expenses.</w:t>
      </w:r>
    </w:p>
    <w:p>
      <w:pPr>
        <w:ind w:left="282" w:hanging="282"/>
        <w:spacing w:after="0"/>
        <w:tabs>
          <w:tab w:leader="none" w:pos="28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(credit) charges related to severance.</w:t>
      </w:r>
    </w:p>
    <w:p>
      <w:pPr>
        <w:spacing w:after="0" w:line="200" w:lineRule="exact"/>
        <w:rPr>
          <w:sz w:val="20"/>
          <w:szCs w:val="20"/>
          <w:color w:val="auto"/>
        </w:rPr>
      </w:pPr>
    </w:p>
    <w:p>
      <w:pPr>
        <w:spacing w:after="0" w:line="2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NON-GAAP FINANCIAL MEASURE DISCLOSURE</w:t>
      </w:r>
    </w:p>
    <w:p>
      <w:pPr>
        <w:jc w:val="center"/>
        <w:ind w:right="-1"/>
        <w:spacing w:after="0" w:line="230" w:lineRule="auto"/>
        <w:rPr>
          <w:sz w:val="20"/>
          <w:szCs w:val="20"/>
          <w:color w:val="auto"/>
        </w:rPr>
      </w:pPr>
      <w:r>
        <w:rPr>
          <w:rFonts w:ascii="Times New Roman" w:cs="Times New Roman" w:eastAsia="Times New Roman" w:hAnsi="Times New Roman"/>
          <w:sz w:val="20"/>
          <w:szCs w:val="20"/>
          <w:color w:val="auto"/>
        </w:rPr>
        <w:t>(In thousands, except per share data)</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(Unaudited)</w:t>
      </w:r>
    </w:p>
    <w:p>
      <w:pPr>
        <w:spacing w:after="0" w:line="233" w:lineRule="exact"/>
        <w:rPr>
          <w:sz w:val="20"/>
          <w:szCs w:val="20"/>
          <w:color w:val="auto"/>
        </w:rPr>
      </w:pPr>
    </w:p>
    <w:tbl>
      <w:tblPr>
        <w:tblLayout w:type="fixed"/>
        <w:tblInd w:w="22" w:type="dxa"/>
        <w:tblCellMar>
          <w:top w:w="0" w:type="dxa"/>
          <w:left w:w="0" w:type="dxa"/>
          <w:bottom w:w="0" w:type="dxa"/>
          <w:right w:w="0" w:type="dxa"/>
        </w:tblCellMar>
      </w:tblPr>
      <w:tr>
        <w:trPr>
          <w:trHeight w:val="204"/>
        </w:trPr>
        <w:tc>
          <w:tcPr>
            <w:tcW w:w="128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Reconciliation</w:t>
            </w:r>
          </w:p>
        </w:tc>
        <w:tc>
          <w:tcPr>
            <w:tcW w:w="200" w:type="dxa"/>
            <w:vAlign w:val="bottom"/>
            <w:tcBorders>
              <w:top w:val="single" w:sz="8" w:color="auto"/>
              <w:left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of Adjusted</w:t>
            </w:r>
          </w:p>
        </w:tc>
        <w:tc>
          <w:tcPr>
            <w:tcW w:w="200" w:type="dxa"/>
            <w:vAlign w:val="bottom"/>
            <w:tcBorders>
              <w:left w:val="single" w:sz="8" w:color="auto"/>
            </w:tcBorders>
          </w:tcPr>
          <w:p>
            <w:pPr>
              <w:spacing w:after="0"/>
              <w:rPr>
                <w:sz w:val="19"/>
                <w:szCs w:val="19"/>
                <w:color w:val="auto"/>
              </w:rPr>
            </w:pPr>
          </w:p>
        </w:tc>
        <w:tc>
          <w:tcPr>
            <w:tcW w:w="2100" w:type="dxa"/>
            <w:vAlign w:val="bottom"/>
            <w:tcBorders>
              <w:right w:val="single" w:sz="8" w:color="auto"/>
            </w:tcBorders>
            <w:gridSpan w:val="4"/>
            <w:vMerge w:val="restart"/>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7"/>
              </w:rPr>
              <w:t>Three Months Ended</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Borders>
              <w:right w:val="single" w:sz="8" w:color="auto"/>
            </w:tcBorders>
            <w:gridSpan w:val="4"/>
            <w:vMerge w:val="restart"/>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7"/>
              </w:rPr>
              <w:t>Three Months Ended</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Borders>
              <w:right w:val="single" w:sz="8" w:color="auto"/>
            </w:tcBorders>
            <w:gridSpan w:val="4"/>
            <w:vMerge w:val="restart"/>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8"/>
              </w:rPr>
              <w:t>Six Months Ended</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Borders>
              <w:right w:val="single" w:sz="8" w:color="auto"/>
            </w:tcBorders>
            <w:gridSpan w:val="4"/>
            <w:vMerge w:val="restart"/>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8"/>
              </w:rPr>
              <w:t>Six Months Ended</w:t>
            </w:r>
          </w:p>
        </w:tc>
        <w:tc>
          <w:tcPr>
            <w:tcW w:w="0" w:type="dxa"/>
            <w:vAlign w:val="bottom"/>
          </w:tcPr>
          <w:p>
            <w:pPr>
              <w:spacing w:after="0"/>
              <w:rPr>
                <w:sz w:val="1"/>
                <w:szCs w:val="1"/>
                <w:color w:val="auto"/>
              </w:rPr>
            </w:pPr>
          </w:p>
        </w:tc>
      </w:tr>
      <w:tr>
        <w:trPr>
          <w:trHeight w:val="111"/>
        </w:trPr>
        <w:tc>
          <w:tcPr>
            <w:tcW w:w="1280" w:type="dxa"/>
            <w:vAlign w:val="bottom"/>
            <w:vMerge w:val="restart"/>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200" w:type="dxa"/>
            <w:vAlign w:val="bottom"/>
            <w:tcBorders>
              <w:left w:val="single" w:sz="8" w:color="auto"/>
            </w:tcBorders>
          </w:tcPr>
          <w:p>
            <w:pPr>
              <w:spacing w:after="0"/>
              <w:rPr>
                <w:sz w:val="9"/>
                <w:szCs w:val="9"/>
                <w:color w:val="auto"/>
              </w:rPr>
            </w:pPr>
          </w:p>
        </w:tc>
        <w:tc>
          <w:tcPr>
            <w:tcW w:w="2100" w:type="dxa"/>
            <w:vAlign w:val="bottom"/>
            <w:tcBorders>
              <w:right w:val="single" w:sz="8" w:color="auto"/>
            </w:tcBorders>
            <w:gridSpan w:val="4"/>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tcBorders>
              <w:right w:val="single" w:sz="8" w:color="auto"/>
            </w:tcBorders>
            <w:gridSpan w:val="4"/>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right w:val="single" w:sz="8" w:color="auto"/>
            </w:tcBorders>
            <w:gridSpan w:val="4"/>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280" w:type="dxa"/>
            <w:vAlign w:val="bottom"/>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2100" w:type="dxa"/>
            <w:vAlign w:val="bottom"/>
            <w:tcBorders>
              <w:right w:val="single" w:sz="8" w:color="auto"/>
            </w:tcBorders>
            <w:gridSpan w:val="4"/>
            <w:vMerge w:val="restart"/>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7"/>
              </w:rPr>
              <w:t>April 30, 2026</w:t>
            </w:r>
          </w:p>
        </w:tc>
        <w:tc>
          <w:tcPr>
            <w:tcW w:w="3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tcBorders>
              <w:right w:val="single" w:sz="8" w:color="auto"/>
            </w:tcBorders>
            <w:gridSpan w:val="4"/>
            <w:vMerge w:val="restart"/>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7"/>
              </w:rPr>
              <w:t>April 30, 2025</w:t>
            </w:r>
          </w:p>
        </w:tc>
        <w:tc>
          <w:tcPr>
            <w:tcW w:w="2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right w:val="single" w:sz="8" w:color="auto"/>
            </w:tcBorders>
            <w:gridSpan w:val="4"/>
            <w:vMerge w:val="restart"/>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7"/>
              </w:rPr>
              <w:t>April 30, 2026</w:t>
            </w: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right w:val="single" w:sz="8" w:color="auto"/>
            </w:tcBorders>
            <w:gridSpan w:val="4"/>
            <w:vMerge w:val="restart"/>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9"/>
              </w:rPr>
              <w:t>April 30, 2025</w:t>
            </w:r>
          </w:p>
        </w:tc>
        <w:tc>
          <w:tcPr>
            <w:tcW w:w="0" w:type="dxa"/>
            <w:vAlign w:val="bottom"/>
          </w:tcPr>
          <w:p>
            <w:pPr>
              <w:spacing w:after="0"/>
              <w:rPr>
                <w:sz w:val="1"/>
                <w:szCs w:val="1"/>
                <w:color w:val="auto"/>
              </w:rPr>
            </w:pPr>
          </w:p>
        </w:tc>
      </w:tr>
      <w:tr>
        <w:trPr>
          <w:trHeight w:val="151"/>
        </w:trPr>
        <w:tc>
          <w:tcPr>
            <w:tcW w:w="1280" w:type="dxa"/>
            <w:vAlign w:val="bottom"/>
            <w:vMerge w:val="restart"/>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and Adjusted</w:t>
            </w:r>
          </w:p>
        </w:tc>
        <w:tc>
          <w:tcPr>
            <w:tcW w:w="200" w:type="dxa"/>
            <w:vAlign w:val="bottom"/>
            <w:tcBorders>
              <w:left w:val="single" w:sz="8" w:color="auto"/>
            </w:tcBorders>
          </w:tcPr>
          <w:p>
            <w:pPr>
              <w:spacing w:after="0"/>
              <w:rPr>
                <w:sz w:val="13"/>
                <w:szCs w:val="13"/>
                <w:color w:val="auto"/>
              </w:rPr>
            </w:pPr>
          </w:p>
        </w:tc>
        <w:tc>
          <w:tcPr>
            <w:tcW w:w="2100" w:type="dxa"/>
            <w:vAlign w:val="bottom"/>
            <w:tcBorders>
              <w:right w:val="single" w:sz="8" w:color="auto"/>
            </w:tcBorders>
            <w:gridSpan w:val="4"/>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Borders>
              <w:right w:val="single" w:sz="8" w:color="auto"/>
            </w:tcBorders>
            <w:gridSpan w:val="4"/>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Borders>
              <w:right w:val="single" w:sz="8" w:color="auto"/>
            </w:tcBorders>
            <w:gridSpan w:val="4"/>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Borders>
              <w:right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280" w:type="dxa"/>
            <w:vAlign w:val="bottom"/>
            <w:vMerge w:val="continue"/>
          </w:tcPr>
          <w:p>
            <w:pPr>
              <w:spacing w:after="0"/>
              <w:rPr>
                <w:sz w:val="6"/>
                <w:szCs w:val="6"/>
                <w:color w:val="auto"/>
              </w:rPr>
            </w:pPr>
          </w:p>
        </w:tc>
        <w:tc>
          <w:tcPr>
            <w:tcW w:w="200" w:type="dxa"/>
            <w:vAlign w:val="bottom"/>
            <w:tcBorders>
              <w:left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200" w:type="dxa"/>
            <w:vAlign w:val="bottom"/>
            <w:tcBorders>
              <w:left w:val="single" w:sz="8" w:color="auto"/>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140" w:type="dxa"/>
            <w:vAlign w:val="bottom"/>
          </w:tcPr>
          <w:p>
            <w:pPr>
              <w:spacing w:after="0"/>
              <w:rPr>
                <w:sz w:val="17"/>
                <w:szCs w:val="17"/>
                <w:color w:val="auto"/>
              </w:rPr>
            </w:pPr>
          </w:p>
        </w:tc>
        <w:tc>
          <w:tcPr>
            <w:tcW w:w="860" w:type="dxa"/>
            <w:vAlign w:val="bottom"/>
          </w:tcPr>
          <w:p>
            <w:pPr>
              <w:jc w:val="center"/>
              <w:ind w:right="62"/>
              <w:spacing w:after="0" w:line="198" w:lineRule="exact"/>
              <w:rPr>
                <w:sz w:val="20"/>
                <w:szCs w:val="20"/>
                <w:color w:val="auto"/>
              </w:rPr>
            </w:pPr>
            <w:r>
              <w:rPr>
                <w:rFonts w:ascii="Times New Roman" w:cs="Times New Roman" w:eastAsia="Times New Roman" w:hAnsi="Times New Roman"/>
                <w:sz w:val="20"/>
                <w:szCs w:val="20"/>
                <w:b w:val="1"/>
                <w:bCs w:val="1"/>
                <w:color w:val="auto"/>
                <w:w w:val="97"/>
              </w:rPr>
              <w:t>Diluted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140" w:type="dxa"/>
            <w:vAlign w:val="bottom"/>
          </w:tcPr>
          <w:p>
            <w:pPr>
              <w:spacing w:after="0"/>
              <w:rPr>
                <w:sz w:val="17"/>
                <w:szCs w:val="17"/>
                <w:color w:val="auto"/>
              </w:rPr>
            </w:pPr>
          </w:p>
        </w:tc>
        <w:tc>
          <w:tcPr>
            <w:tcW w:w="880" w:type="dxa"/>
            <w:vAlign w:val="bottom"/>
          </w:tcPr>
          <w:p>
            <w:pPr>
              <w:jc w:val="center"/>
              <w:ind w:right="82"/>
              <w:spacing w:after="0" w:line="198" w:lineRule="exact"/>
              <w:rPr>
                <w:sz w:val="20"/>
                <w:szCs w:val="20"/>
                <w:color w:val="auto"/>
              </w:rPr>
            </w:pPr>
            <w:r>
              <w:rPr>
                <w:rFonts w:ascii="Times New Roman" w:cs="Times New Roman" w:eastAsia="Times New Roman" w:hAnsi="Times New Roman"/>
                <w:sz w:val="20"/>
                <w:szCs w:val="20"/>
                <w:b w:val="1"/>
                <w:bCs w:val="1"/>
                <w:color w:val="auto"/>
                <w:w w:val="97"/>
              </w:rPr>
              <w:t>Diluted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160" w:type="dxa"/>
            <w:vAlign w:val="bottom"/>
          </w:tcPr>
          <w:p>
            <w:pPr>
              <w:spacing w:after="0"/>
              <w:rPr>
                <w:sz w:val="17"/>
                <w:szCs w:val="17"/>
                <w:color w:val="auto"/>
              </w:rPr>
            </w:pPr>
          </w:p>
        </w:tc>
        <w:tc>
          <w:tcPr>
            <w:tcW w:w="860" w:type="dxa"/>
            <w:vAlign w:val="bottom"/>
          </w:tcPr>
          <w:p>
            <w:pPr>
              <w:jc w:val="center"/>
              <w:ind w:right="102"/>
              <w:spacing w:after="0" w:line="198" w:lineRule="exact"/>
              <w:rPr>
                <w:sz w:val="20"/>
                <w:szCs w:val="20"/>
                <w:color w:val="auto"/>
              </w:rPr>
            </w:pPr>
            <w:r>
              <w:rPr>
                <w:rFonts w:ascii="Times New Roman" w:cs="Times New Roman" w:eastAsia="Times New Roman" w:hAnsi="Times New Roman"/>
                <w:sz w:val="20"/>
                <w:szCs w:val="20"/>
                <w:b w:val="1"/>
                <w:bCs w:val="1"/>
                <w:color w:val="auto"/>
                <w:w w:val="97"/>
              </w:rPr>
              <w:t>Diluted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160" w:type="dxa"/>
            <w:vAlign w:val="bottom"/>
          </w:tcPr>
          <w:p>
            <w:pPr>
              <w:spacing w:after="0"/>
              <w:rPr>
                <w:sz w:val="17"/>
                <w:szCs w:val="17"/>
                <w:color w:val="auto"/>
              </w:rPr>
            </w:pPr>
          </w:p>
        </w:tc>
        <w:tc>
          <w:tcPr>
            <w:tcW w:w="860" w:type="dxa"/>
            <w:vAlign w:val="bottom"/>
          </w:tcPr>
          <w:p>
            <w:pPr>
              <w:jc w:val="right"/>
              <w:ind w:right="122"/>
              <w:spacing w:after="0" w:line="198" w:lineRule="exact"/>
              <w:rPr>
                <w:sz w:val="20"/>
                <w:szCs w:val="20"/>
                <w:color w:val="auto"/>
              </w:rPr>
            </w:pPr>
            <w:r>
              <w:rPr>
                <w:rFonts w:ascii="Times New Roman" w:cs="Times New Roman" w:eastAsia="Times New Roman" w:hAnsi="Times New Roman"/>
                <w:sz w:val="20"/>
                <w:szCs w:val="20"/>
                <w:b w:val="1"/>
                <w:bCs w:val="1"/>
                <w:color w:val="auto"/>
                <w:w w:val="97"/>
              </w:rPr>
              <w:t>Diluted</w:t>
            </w:r>
          </w:p>
        </w:tc>
        <w:tc>
          <w:tcPr>
            <w:tcW w:w="0" w:type="dxa"/>
            <w:vAlign w:val="bottom"/>
          </w:tcPr>
          <w:p>
            <w:pPr>
              <w:spacing w:after="0"/>
              <w:rPr>
                <w:sz w:val="1"/>
                <w:szCs w:val="1"/>
                <w:color w:val="auto"/>
              </w:rPr>
            </w:pPr>
          </w:p>
        </w:tc>
      </w:tr>
      <w:tr>
        <w:trPr>
          <w:trHeight w:val="262"/>
        </w:trPr>
        <w:tc>
          <w:tcPr>
            <w:tcW w:w="1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140" w:type="dxa"/>
            <w:vAlign w:val="bottom"/>
          </w:tcPr>
          <w:p>
            <w:pPr>
              <w:spacing w:after="0"/>
              <w:rPr>
                <w:sz w:val="22"/>
                <w:szCs w:val="22"/>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8"/>
              </w:rPr>
              <w:t>EPS</w:t>
            </w:r>
          </w:p>
        </w:tc>
        <w:tc>
          <w:tcPr>
            <w:tcW w:w="18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140" w:type="dxa"/>
            <w:vAlign w:val="bottom"/>
          </w:tcPr>
          <w:p>
            <w:pPr>
              <w:spacing w:after="0"/>
              <w:rPr>
                <w:sz w:val="22"/>
                <w:szCs w:val="22"/>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8"/>
              </w:rPr>
              <w:t>EPS</w:t>
            </w:r>
          </w:p>
        </w:tc>
        <w:tc>
          <w:tcPr>
            <w:tcW w:w="200" w:type="dxa"/>
            <w:vAlign w:val="bottom"/>
          </w:tcPr>
          <w:p>
            <w:pPr>
              <w:spacing w:after="0"/>
              <w:rPr>
                <w:sz w:val="22"/>
                <w:szCs w:val="2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160" w:type="dxa"/>
            <w:vAlign w:val="bottom"/>
          </w:tcPr>
          <w:p>
            <w:pPr>
              <w:spacing w:after="0"/>
              <w:rPr>
                <w:sz w:val="22"/>
                <w:szCs w:val="22"/>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8"/>
              </w:rPr>
              <w:t>EPS</w:t>
            </w:r>
          </w:p>
        </w:tc>
        <w:tc>
          <w:tcPr>
            <w:tcW w:w="220" w:type="dxa"/>
            <w:vAlign w:val="bottom"/>
          </w:tcPr>
          <w:p>
            <w:pPr>
              <w:spacing w:after="0"/>
              <w:rPr>
                <w:sz w:val="22"/>
                <w:szCs w:val="22"/>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160" w:type="dxa"/>
            <w:vAlign w:val="bottom"/>
          </w:tcPr>
          <w:p>
            <w:pPr>
              <w:spacing w:after="0"/>
              <w:rPr>
                <w:sz w:val="22"/>
                <w:szCs w:val="22"/>
                <w:color w:val="auto"/>
              </w:rPr>
            </w:pPr>
          </w:p>
        </w:tc>
        <w:tc>
          <w:tcPr>
            <w:tcW w:w="860" w:type="dxa"/>
            <w:vAlign w:val="bottom"/>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EPS</w:t>
            </w: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(loss) as</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3,350</w:t>
            </w:r>
          </w:p>
        </w:tc>
        <w:tc>
          <w:tcPr>
            <w:tcW w:w="80" w:type="dxa"/>
            <w:vAlign w:val="bottom"/>
          </w:tcPr>
          <w:p>
            <w:pPr>
              <w:spacing w:after="0"/>
              <w:rPr>
                <w:sz w:val="19"/>
                <w:szCs w:val="19"/>
                <w:color w:val="auto"/>
              </w:rPr>
            </w:pPr>
          </w:p>
        </w:tc>
        <w:tc>
          <w:tcPr>
            <w:tcW w:w="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0.07</w:t>
            </w:r>
          </w:p>
        </w:tc>
        <w:tc>
          <w:tcPr>
            <w:tcW w:w="300" w:type="dxa"/>
            <w:vAlign w:val="bottom"/>
          </w:tcPr>
          <w:p>
            <w:pPr>
              <w:spacing w:after="0"/>
              <w:rPr>
                <w:sz w:val="19"/>
                <w:szCs w:val="19"/>
                <w:color w:val="auto"/>
              </w:rPr>
            </w:pP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20,515</w:t>
            </w:r>
          </w:p>
        </w:tc>
        <w:tc>
          <w:tcPr>
            <w:tcW w:w="80" w:type="dxa"/>
            <w:vAlign w:val="bottom"/>
          </w:tcPr>
          <w:p>
            <w:pPr>
              <w:spacing w:after="0"/>
              <w:rPr>
                <w:sz w:val="19"/>
                <w:szCs w:val="19"/>
                <w:color w:val="auto"/>
              </w:rPr>
            </w:pPr>
          </w:p>
        </w:tc>
        <w:tc>
          <w:tcPr>
            <w:tcW w:w="1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ind w:right="62"/>
              <w:spacing w:after="0" w:line="221" w:lineRule="exact"/>
              <w:rPr>
                <w:sz w:val="20"/>
                <w:szCs w:val="20"/>
                <w:color w:val="auto"/>
              </w:rPr>
            </w:pPr>
            <w:r>
              <w:rPr>
                <w:rFonts w:ascii="Times New Roman" w:cs="Times New Roman" w:eastAsia="Times New Roman" w:hAnsi="Times New Roman"/>
                <w:sz w:val="20"/>
                <w:szCs w:val="20"/>
                <w:color w:val="auto"/>
              </w:rPr>
              <w:t>0.44</w:t>
            </w:r>
          </w:p>
        </w:tc>
        <w:tc>
          <w:tcPr>
            <w:tcW w:w="280" w:type="dxa"/>
            <w:vAlign w:val="bottom"/>
          </w:tcPr>
          <w:p>
            <w:pPr>
              <w:spacing w:after="0"/>
              <w:rPr>
                <w:sz w:val="19"/>
                <w:szCs w:val="19"/>
                <w:color w:val="auto"/>
              </w:rPr>
            </w:pP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(721)</w:t>
            </w:r>
          </w:p>
        </w:tc>
        <w:tc>
          <w:tcPr>
            <w:tcW w:w="80" w:type="dxa"/>
            <w:vAlign w:val="bottom"/>
          </w:tcPr>
          <w:p>
            <w:pPr>
              <w:spacing w:after="0"/>
              <w:rPr>
                <w:sz w:val="19"/>
                <w:szCs w:val="19"/>
                <w:color w:val="auto"/>
              </w:rPr>
            </w:pP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(0.02)</w:t>
            </w:r>
          </w:p>
        </w:tc>
        <w:tc>
          <w:tcPr>
            <w:tcW w:w="280" w:type="dxa"/>
            <w:vAlign w:val="bottom"/>
          </w:tcPr>
          <w:p>
            <w:pPr>
              <w:spacing w:after="0"/>
              <w:rPr>
                <w:sz w:val="19"/>
                <w:szCs w:val="19"/>
                <w:color w:val="auto"/>
              </w:rPr>
            </w:pPr>
          </w:p>
        </w:tc>
        <w:tc>
          <w:tcPr>
            <w:tcW w:w="2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5,630</w:t>
            </w:r>
          </w:p>
        </w:tc>
        <w:tc>
          <w:tcPr>
            <w:tcW w:w="80" w:type="dxa"/>
            <w:vAlign w:val="bottom"/>
          </w:tcPr>
          <w:p>
            <w:pPr>
              <w:spacing w:after="0"/>
              <w:rPr>
                <w:sz w:val="19"/>
                <w:szCs w:val="19"/>
                <w:color w:val="auto"/>
              </w:rPr>
            </w:pP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0.12</w:t>
            </w: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reported</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reconciling</w:t>
            </w:r>
          </w:p>
        </w:tc>
        <w:tc>
          <w:tcPr>
            <w:tcW w:w="200" w:type="dxa"/>
            <w:vAlign w:val="bottom"/>
          </w:tcPr>
          <w:p>
            <w:pPr>
              <w:spacing w:after="0"/>
              <w:rPr>
                <w:sz w:val="19"/>
                <w:szCs w:val="19"/>
                <w:color w:val="auto"/>
              </w:rPr>
            </w:pP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7,913</w:t>
            </w:r>
          </w:p>
        </w:tc>
        <w:tc>
          <w:tcPr>
            <w:tcW w:w="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0.18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8,597</w:t>
            </w:r>
          </w:p>
        </w:tc>
        <w:tc>
          <w:tcPr>
            <w:tcW w:w="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rPr>
              <w:t>0.19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11,714</w:t>
            </w:r>
          </w:p>
        </w:tc>
        <w:tc>
          <w:tcPr>
            <w:tcW w:w="8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0.26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32,444</w:t>
            </w:r>
          </w:p>
        </w:tc>
        <w:tc>
          <w:tcPr>
            <w:tcW w:w="8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0.69</w:t>
            </w:r>
          </w:p>
        </w:tc>
        <w:tc>
          <w:tcPr>
            <w:tcW w:w="0" w:type="dxa"/>
            <w:vAlign w:val="bottom"/>
          </w:tcPr>
          <w:p>
            <w:pPr>
              <w:spacing w:after="0"/>
              <w:rPr>
                <w:sz w:val="1"/>
                <w:szCs w:val="1"/>
                <w:color w:val="auto"/>
              </w:rPr>
            </w:pPr>
          </w:p>
        </w:tc>
      </w:tr>
      <w:tr>
        <w:trPr>
          <w:trHeight w:val="147"/>
        </w:trPr>
        <w:tc>
          <w:tcPr>
            <w:tcW w:w="1280" w:type="dxa"/>
            <w:vAlign w:val="bottom"/>
            <w:vMerge w:val="restart"/>
          </w:tcPr>
          <w:p>
            <w:pPr>
              <w:spacing w:after="0" w:line="221" w:lineRule="exact"/>
              <w:rPr>
                <w:sz w:val="20"/>
                <w:szCs w:val="20"/>
                <w:color w:val="auto"/>
              </w:rPr>
            </w:pPr>
            <w:r>
              <w:rPr>
                <w:rFonts w:ascii="Times New Roman" w:cs="Times New Roman" w:eastAsia="Times New Roman" w:hAnsi="Times New Roman"/>
                <w:sz w:val="20"/>
                <w:szCs w:val="20"/>
                <w:color w:val="auto"/>
              </w:rPr>
              <w:t>items from</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below</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Adjusted net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11,263</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0.25</w:t>
            </w:r>
          </w:p>
        </w:tc>
        <w:tc>
          <w:tcPr>
            <w:tcW w:w="3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29,112</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rPr>
              <w:t>0.63</w:t>
            </w:r>
          </w:p>
        </w:tc>
        <w:tc>
          <w:tcPr>
            <w:tcW w:w="28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10,993</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0.24</w:t>
            </w:r>
          </w:p>
        </w:tc>
        <w:tc>
          <w:tcPr>
            <w:tcW w:w="2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38,074</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0.81</w:t>
            </w:r>
          </w:p>
        </w:tc>
        <w:tc>
          <w:tcPr>
            <w:tcW w:w="0" w:type="dxa"/>
            <w:vAlign w:val="bottom"/>
          </w:tcPr>
          <w:p>
            <w:pPr>
              <w:spacing w:after="0"/>
              <w:rPr>
                <w:sz w:val="1"/>
                <w:szCs w:val="1"/>
                <w:color w:val="auto"/>
              </w:rPr>
            </w:pPr>
          </w:p>
        </w:tc>
      </w:tr>
      <w:tr>
        <w:trPr>
          <w:trHeight w:val="221"/>
        </w:trPr>
        <w:tc>
          <w:tcPr>
            <w:tcW w:w="12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income and</w:t>
            </w:r>
          </w:p>
        </w:tc>
        <w:tc>
          <w:tcPr>
            <w:tcW w:w="2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adjusted EPS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Reconciliation</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80" w:type="dxa"/>
            <w:vAlign w:val="bottom"/>
            <w:vMerge w:val="continue"/>
          </w:tcPr>
          <w:p>
            <w:pPr>
              <w:spacing w:after="0"/>
              <w:rPr>
                <w:sz w:val="16"/>
                <w:szCs w:val="16"/>
                <w:color w:val="auto"/>
              </w:rPr>
            </w:pPr>
          </w:p>
        </w:tc>
        <w:tc>
          <w:tcPr>
            <w:tcW w:w="200" w:type="dxa"/>
            <w:vAlign w:val="bottom"/>
            <w:tcBorders>
              <w:left w:val="single" w:sz="8" w:color="auto"/>
            </w:tcBorders>
          </w:tcPr>
          <w:p>
            <w:pPr>
              <w:spacing w:after="0"/>
              <w:rPr>
                <w:sz w:val="16"/>
                <w:szCs w:val="16"/>
                <w:color w:val="auto"/>
              </w:rPr>
            </w:pPr>
          </w:p>
        </w:tc>
        <w:tc>
          <w:tcPr>
            <w:tcW w:w="2100" w:type="dxa"/>
            <w:vAlign w:val="bottom"/>
            <w:tcBorders>
              <w:right w:val="single" w:sz="8" w:color="auto"/>
            </w:tcBorders>
            <w:gridSpan w:val="4"/>
            <w:vMerge w:val="restart"/>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7"/>
              </w:rPr>
              <w:t>Three Months Ended</w:t>
            </w:r>
          </w:p>
        </w:tc>
        <w:tc>
          <w:tcPr>
            <w:tcW w:w="3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Borders>
              <w:right w:val="single" w:sz="8" w:color="auto"/>
            </w:tcBorders>
            <w:gridSpan w:val="4"/>
            <w:vMerge w:val="restart"/>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7"/>
              </w:rPr>
              <w:t>Three Months Ended</w:t>
            </w:r>
          </w:p>
        </w:tc>
        <w:tc>
          <w:tcPr>
            <w:tcW w:w="2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Borders>
              <w:right w:val="single" w:sz="8" w:color="auto"/>
            </w:tcBorders>
            <w:gridSpan w:val="4"/>
            <w:vMerge w:val="restart"/>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8"/>
              </w:rPr>
              <w:t>Six Months Ended</w:t>
            </w:r>
          </w:p>
        </w:tc>
        <w:tc>
          <w:tcPr>
            <w:tcW w:w="2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Borders>
              <w:right w:val="single" w:sz="8" w:color="auto"/>
            </w:tcBorders>
            <w:gridSpan w:val="4"/>
            <w:vMerge w:val="restart"/>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8"/>
              </w:rPr>
              <w:t>Six Months Ended</w:t>
            </w:r>
          </w:p>
        </w:tc>
        <w:tc>
          <w:tcPr>
            <w:tcW w:w="0" w:type="dxa"/>
            <w:vAlign w:val="bottom"/>
          </w:tcPr>
          <w:p>
            <w:pPr>
              <w:spacing w:after="0"/>
              <w:rPr>
                <w:sz w:val="1"/>
                <w:szCs w:val="1"/>
                <w:color w:val="auto"/>
              </w:rPr>
            </w:pPr>
          </w:p>
        </w:tc>
      </w:tr>
      <w:tr>
        <w:trPr>
          <w:trHeight w:val="111"/>
        </w:trPr>
        <w:tc>
          <w:tcPr>
            <w:tcW w:w="1280" w:type="dxa"/>
            <w:vAlign w:val="bottom"/>
            <w:vMerge w:val="restart"/>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of Adjusted</w:t>
            </w:r>
          </w:p>
        </w:tc>
        <w:tc>
          <w:tcPr>
            <w:tcW w:w="200" w:type="dxa"/>
            <w:vAlign w:val="bottom"/>
            <w:tcBorders>
              <w:left w:val="single" w:sz="8" w:color="auto"/>
            </w:tcBorders>
          </w:tcPr>
          <w:p>
            <w:pPr>
              <w:spacing w:after="0"/>
              <w:rPr>
                <w:sz w:val="9"/>
                <w:szCs w:val="9"/>
                <w:color w:val="auto"/>
              </w:rPr>
            </w:pPr>
          </w:p>
        </w:tc>
        <w:tc>
          <w:tcPr>
            <w:tcW w:w="2100" w:type="dxa"/>
            <w:vAlign w:val="bottom"/>
            <w:tcBorders>
              <w:right w:val="single" w:sz="8" w:color="auto"/>
            </w:tcBorders>
            <w:gridSpan w:val="4"/>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tcBorders>
              <w:right w:val="single" w:sz="8" w:color="auto"/>
            </w:tcBorders>
            <w:gridSpan w:val="4"/>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right w:val="single" w:sz="8" w:color="auto"/>
            </w:tcBorders>
            <w:gridSpan w:val="4"/>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280" w:type="dxa"/>
            <w:vAlign w:val="bottom"/>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2100" w:type="dxa"/>
            <w:vAlign w:val="bottom"/>
            <w:tcBorders>
              <w:right w:val="single" w:sz="8" w:color="auto"/>
            </w:tcBorders>
            <w:gridSpan w:val="4"/>
            <w:vMerge w:val="restart"/>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7"/>
              </w:rPr>
              <w:t>April 30, 2026</w:t>
            </w:r>
          </w:p>
        </w:tc>
        <w:tc>
          <w:tcPr>
            <w:tcW w:w="3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tcBorders>
              <w:right w:val="single" w:sz="8" w:color="auto"/>
            </w:tcBorders>
            <w:gridSpan w:val="4"/>
            <w:vMerge w:val="restart"/>
          </w:tcPr>
          <w:p>
            <w:pPr>
              <w:jc w:val="center"/>
              <w:ind w:right="122"/>
              <w:spacing w:after="0"/>
              <w:rPr>
                <w:sz w:val="20"/>
                <w:szCs w:val="20"/>
                <w:color w:val="auto"/>
              </w:rPr>
            </w:pPr>
            <w:r>
              <w:rPr>
                <w:rFonts w:ascii="Times New Roman" w:cs="Times New Roman" w:eastAsia="Times New Roman" w:hAnsi="Times New Roman"/>
                <w:sz w:val="20"/>
                <w:szCs w:val="20"/>
                <w:b w:val="1"/>
                <w:bCs w:val="1"/>
                <w:color w:val="auto"/>
                <w:w w:val="97"/>
              </w:rPr>
              <w:t>April 30, 2025</w:t>
            </w:r>
          </w:p>
        </w:tc>
        <w:tc>
          <w:tcPr>
            <w:tcW w:w="2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right w:val="single" w:sz="8" w:color="auto"/>
            </w:tcBorders>
            <w:gridSpan w:val="4"/>
            <w:vMerge w:val="restart"/>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7"/>
              </w:rPr>
              <w:t>April 30, 2026</w:t>
            </w: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right w:val="single" w:sz="8" w:color="auto"/>
            </w:tcBorders>
            <w:gridSpan w:val="4"/>
            <w:vMerge w:val="restart"/>
          </w:tcPr>
          <w:p>
            <w:pPr>
              <w:jc w:val="center"/>
              <w:ind w:right="142"/>
              <w:spacing w:after="0"/>
              <w:rPr>
                <w:sz w:val="20"/>
                <w:szCs w:val="20"/>
                <w:color w:val="auto"/>
              </w:rPr>
            </w:pPr>
            <w:r>
              <w:rPr>
                <w:rFonts w:ascii="Times New Roman" w:cs="Times New Roman" w:eastAsia="Times New Roman" w:hAnsi="Times New Roman"/>
                <w:sz w:val="20"/>
                <w:szCs w:val="20"/>
                <w:b w:val="1"/>
                <w:bCs w:val="1"/>
                <w:color w:val="auto"/>
                <w:w w:val="99"/>
              </w:rPr>
              <w:t>April 30, 2025</w:t>
            </w:r>
          </w:p>
        </w:tc>
        <w:tc>
          <w:tcPr>
            <w:tcW w:w="0" w:type="dxa"/>
            <w:vAlign w:val="bottom"/>
          </w:tcPr>
          <w:p>
            <w:pPr>
              <w:spacing w:after="0"/>
              <w:rPr>
                <w:sz w:val="1"/>
                <w:szCs w:val="1"/>
                <w:color w:val="auto"/>
              </w:rPr>
            </w:pPr>
          </w:p>
        </w:tc>
      </w:tr>
      <w:tr>
        <w:trPr>
          <w:trHeight w:val="151"/>
        </w:trPr>
        <w:tc>
          <w:tcPr>
            <w:tcW w:w="1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EBITDA</w:t>
            </w:r>
          </w:p>
        </w:tc>
        <w:tc>
          <w:tcPr>
            <w:tcW w:w="200" w:type="dxa"/>
            <w:vAlign w:val="bottom"/>
            <w:tcBorders>
              <w:left w:val="single" w:sz="8" w:color="auto"/>
            </w:tcBorders>
          </w:tcPr>
          <w:p>
            <w:pPr>
              <w:spacing w:after="0"/>
              <w:rPr>
                <w:sz w:val="13"/>
                <w:szCs w:val="13"/>
                <w:color w:val="auto"/>
              </w:rPr>
            </w:pPr>
          </w:p>
        </w:tc>
        <w:tc>
          <w:tcPr>
            <w:tcW w:w="2100" w:type="dxa"/>
            <w:vAlign w:val="bottom"/>
            <w:tcBorders>
              <w:right w:val="single" w:sz="8" w:color="auto"/>
            </w:tcBorders>
            <w:gridSpan w:val="4"/>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Borders>
              <w:right w:val="single" w:sz="8" w:color="auto"/>
            </w:tcBorders>
            <w:gridSpan w:val="4"/>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Borders>
              <w:right w:val="single" w:sz="8" w:color="auto"/>
            </w:tcBorders>
            <w:gridSpan w:val="4"/>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Borders>
              <w:right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80" w:type="dxa"/>
            <w:vAlign w:val="bottom"/>
            <w:vMerge w:val="continue"/>
          </w:tcPr>
          <w:p>
            <w:pPr>
              <w:spacing w:after="0"/>
              <w:rPr>
                <w:sz w:val="9"/>
                <w:szCs w:val="9"/>
                <w:color w:val="auto"/>
              </w:rPr>
            </w:pPr>
          </w:p>
        </w:tc>
        <w:tc>
          <w:tcPr>
            <w:tcW w:w="20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2"/>
          </w:cols>
          <w:pgMar w:left="318" w:top="111" w:right="239" w:bottom="0" w:gutter="0" w:footer="0" w:header="0"/>
        </w:sectPr>
      </w:pPr>
    </w:p>
    <w:bookmarkStart w:id="8" w:name="page9"/>
    <w:bookmarkEnd w:id="8"/>
    <w:p>
      <w:pPr>
        <w:spacing w:after="0" w:line="249" w:lineRule="exact"/>
        <w:rPr>
          <w:sz w:val="20"/>
          <w:szCs w:val="20"/>
          <w:color w:val="auto"/>
        </w:rPr>
      </w:pPr>
    </w:p>
    <w:p>
      <w:pPr>
        <w:ind w:left="22" w:right="240"/>
        <w:spacing w:after="0" w:line="256" w:lineRule="auto"/>
        <w:rPr>
          <w:sz w:val="20"/>
          <w:szCs w:val="20"/>
          <w:color w:val="auto"/>
        </w:rPr>
      </w:pPr>
      <w:r>
        <w:rPr>
          <w:rFonts w:ascii="Times New Roman" w:cs="Times New Roman" w:eastAsia="Times New Roman" w:hAnsi="Times New Roman"/>
          <w:sz w:val="19"/>
          <w:szCs w:val="19"/>
          <w:color w:val="auto"/>
        </w:rPr>
        <w:t>Net income (loss) as reported</w:t>
      </w:r>
    </w:p>
    <w:p>
      <w:pPr>
        <w:spacing w:after="0" w:line="1" w:lineRule="exact"/>
        <w:rPr>
          <w:sz w:val="20"/>
          <w:szCs w:val="20"/>
          <w:color w:val="auto"/>
        </w:rPr>
      </w:pPr>
    </w:p>
    <w:p>
      <w:pPr>
        <w:ind w:left="22" w:right="260"/>
        <w:spacing w:after="0" w:line="256" w:lineRule="auto"/>
        <w:rPr>
          <w:sz w:val="20"/>
          <w:szCs w:val="20"/>
          <w:color w:val="auto"/>
        </w:rPr>
      </w:pPr>
      <w:r>
        <w:rPr>
          <w:rFonts w:ascii="Times New Roman" w:cs="Times New Roman" w:eastAsia="Times New Roman" w:hAnsi="Times New Roman"/>
          <w:sz w:val="19"/>
          <w:szCs w:val="19"/>
          <w:color w:val="auto"/>
        </w:rPr>
        <w:t>Income tax expense</w:t>
      </w:r>
    </w:p>
    <w:p>
      <w:pPr>
        <w:spacing w:after="0" w:line="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Other, net</w:t>
      </w:r>
    </w:p>
    <w:p>
      <w:pPr>
        <w:spacing w:after="0" w:line="16"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Interest</w:t>
      </w:r>
    </w:p>
    <w:p>
      <w:pPr>
        <w:spacing w:after="0" w:line="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expense</w:t>
      </w:r>
    </w:p>
    <w:p>
      <w:pPr>
        <w:spacing w:after="0" w:line="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Depreciation</w:t>
      </w:r>
    </w:p>
    <w:p>
      <w:pPr>
        <w:ind w:left="22"/>
        <w:spacing w:after="0" w:line="233" w:lineRule="auto"/>
        <w:rPr>
          <w:sz w:val="20"/>
          <w:szCs w:val="20"/>
          <w:color w:val="auto"/>
        </w:rPr>
      </w:pPr>
      <w:r>
        <w:rPr>
          <w:rFonts w:ascii="Times New Roman" w:cs="Times New Roman" w:eastAsia="Times New Roman" w:hAnsi="Times New Roman"/>
          <w:sz w:val="20"/>
          <w:szCs w:val="20"/>
          <w:color w:val="auto"/>
        </w:rPr>
        <w:t>and</w:t>
      </w:r>
    </w:p>
    <w:p>
      <w:pPr>
        <w:ind w:left="22"/>
        <w:spacing w:after="0"/>
        <w:rPr>
          <w:sz w:val="20"/>
          <w:szCs w:val="20"/>
          <w:color w:val="auto"/>
        </w:rPr>
      </w:pPr>
      <w:r>
        <w:rPr>
          <w:rFonts w:ascii="Times New Roman" w:cs="Times New Roman" w:eastAsia="Times New Roman" w:hAnsi="Times New Roman"/>
          <w:sz w:val="20"/>
          <w:szCs w:val="20"/>
          <w:color w:val="auto"/>
        </w:rPr>
        <w:t>amortization</w:t>
      </w:r>
    </w:p>
    <w:p>
      <w:pPr>
        <w:spacing w:after="0" w:line="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EBITDA</w:t>
      </w:r>
    </w:p>
    <w:p>
      <w:pPr>
        <w:spacing w:after="0" w:line="17" w:lineRule="exact"/>
        <w:rPr>
          <w:sz w:val="20"/>
          <w:szCs w:val="20"/>
          <w:color w:val="auto"/>
        </w:rPr>
      </w:pPr>
    </w:p>
    <w:p>
      <w:pPr>
        <w:ind w:left="22" w:right="260"/>
        <w:spacing w:after="0" w:line="253" w:lineRule="auto"/>
        <w:rPr>
          <w:sz w:val="20"/>
          <w:szCs w:val="20"/>
          <w:color w:val="auto"/>
        </w:rPr>
      </w:pPr>
      <w:r>
        <w:rPr>
          <w:rFonts w:ascii="Times New Roman" w:cs="Times New Roman" w:eastAsia="Times New Roman" w:hAnsi="Times New Roman"/>
          <w:sz w:val="19"/>
          <w:szCs w:val="19"/>
          <w:color w:val="auto"/>
        </w:rPr>
        <w:t>EBITDA reconciling items from below</w:t>
      </w:r>
    </w:p>
    <w:p>
      <w:pPr>
        <w:ind w:left="22"/>
        <w:spacing w:after="0"/>
        <w:rPr>
          <w:sz w:val="20"/>
          <w:szCs w:val="20"/>
          <w:color w:val="auto"/>
        </w:rPr>
      </w:pPr>
      <w:r>
        <w:rPr>
          <w:rFonts w:ascii="Times New Roman" w:cs="Times New Roman" w:eastAsia="Times New Roman" w:hAnsi="Times New Roman"/>
          <w:sz w:val="20"/>
          <w:szCs w:val="20"/>
          <w:color w:val="auto"/>
        </w:rPr>
        <w:t>Adjusted</w:t>
      </w:r>
    </w:p>
    <w:p>
      <w:pPr>
        <w:spacing w:after="0" w:line="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EBITDA</w:t>
      </w:r>
    </w:p>
    <w:p>
      <w:pPr>
        <w:spacing w:after="0" w:line="273" w:lineRule="exact"/>
        <w:rPr>
          <w:sz w:val="20"/>
          <w:szCs w:val="20"/>
          <w:color w:val="auto"/>
        </w:rPr>
      </w:pPr>
    </w:p>
    <w:p>
      <w:pPr>
        <w:ind w:left="22" w:right="160"/>
        <w:spacing w:after="0" w:line="290" w:lineRule="auto"/>
        <w:rPr>
          <w:sz w:val="20"/>
          <w:szCs w:val="20"/>
          <w:color w:val="auto"/>
        </w:rPr>
      </w:pPr>
      <w:r>
        <w:rPr>
          <w:rFonts w:ascii="Times New Roman" w:cs="Times New Roman" w:eastAsia="Times New Roman" w:hAnsi="Times New Roman"/>
          <w:sz w:val="19"/>
          <w:szCs w:val="19"/>
          <w:b w:val="1"/>
          <w:bCs w:val="1"/>
          <w:color w:val="auto"/>
        </w:rPr>
        <w:t>Reconciling Items</w:t>
      </w:r>
    </w:p>
    <w:p>
      <w:pPr>
        <w:spacing w:after="0" w:line="200" w:lineRule="exact"/>
        <w:rPr>
          <w:sz w:val="20"/>
          <w:szCs w:val="20"/>
          <w:color w:val="auto"/>
        </w:rPr>
      </w:pPr>
    </w:p>
    <w:p>
      <w:pPr>
        <w:spacing w:after="0" w:line="223" w:lineRule="exact"/>
        <w:rPr>
          <w:sz w:val="20"/>
          <w:szCs w:val="20"/>
          <w:color w:val="auto"/>
        </w:rPr>
      </w:pPr>
    </w:p>
    <w:p>
      <w:pPr>
        <w:ind w:left="22" w:right="140"/>
        <w:spacing w:after="0" w:line="283" w:lineRule="auto"/>
        <w:rPr>
          <w:sz w:val="20"/>
          <w:szCs w:val="20"/>
          <w:color w:val="auto"/>
        </w:rPr>
      </w:pPr>
      <w:r>
        <w:rPr>
          <w:rFonts w:ascii="Times New Roman" w:cs="Times New Roman" w:eastAsia="Times New Roman" w:hAnsi="Times New Roman"/>
          <w:sz w:val="19"/>
          <w:szCs w:val="19"/>
          <w:color w:val="auto"/>
        </w:rPr>
        <w:t>Net sales Cost of sales</w:t>
      </w:r>
    </w:p>
    <w:p>
      <w:pPr>
        <w:ind w:left="22" w:right="20"/>
        <w:spacing w:after="0" w:line="252" w:lineRule="auto"/>
        <w:rPr>
          <w:sz w:val="20"/>
          <w:szCs w:val="20"/>
          <w:color w:val="auto"/>
        </w:rPr>
      </w:pPr>
      <w:r>
        <w:rPr>
          <w:rFonts w:ascii="Times New Roman" w:cs="Times New Roman" w:eastAsia="Times New Roman" w:hAnsi="Times New Roman"/>
          <w:sz w:val="19"/>
          <w:szCs w:val="19"/>
          <w:color w:val="auto"/>
        </w:rPr>
        <w:t>Selling, general and administrative</w:t>
      </w:r>
    </w:p>
    <w:p>
      <w:pPr>
        <w:ind w:left="22" w:right="80"/>
        <w:spacing w:after="0" w:line="256" w:lineRule="auto"/>
        <w:rPr>
          <w:sz w:val="20"/>
          <w:szCs w:val="20"/>
          <w:color w:val="auto"/>
        </w:rPr>
      </w:pPr>
      <w:r>
        <w:rPr>
          <w:rFonts w:ascii="Times New Roman" w:cs="Times New Roman" w:eastAsia="Times New Roman" w:hAnsi="Times New Roman"/>
          <w:sz w:val="19"/>
          <w:szCs w:val="19"/>
          <w:color w:val="auto"/>
        </w:rPr>
        <w:t>Restructuring charges</w:t>
      </w:r>
    </w:p>
    <w:p>
      <w:pPr>
        <w:spacing w:after="0" w:line="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EBITDA</w:t>
      </w:r>
    </w:p>
    <w:p>
      <w:pPr>
        <w:spacing w:after="0" w:line="17"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Depreciation</w:t>
      </w:r>
    </w:p>
    <w:p>
      <w:pPr>
        <w:spacing w:after="0" w:line="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and</w:t>
      </w:r>
    </w:p>
    <w:p>
      <w:pPr>
        <w:ind w:left="22"/>
        <w:spacing w:after="0"/>
        <w:rPr>
          <w:sz w:val="20"/>
          <w:szCs w:val="20"/>
          <w:color w:val="auto"/>
        </w:rPr>
      </w:pPr>
      <w:r>
        <w:rPr>
          <w:rFonts w:ascii="Times New Roman" w:cs="Times New Roman" w:eastAsia="Times New Roman" w:hAnsi="Times New Roman"/>
          <w:sz w:val="20"/>
          <w:szCs w:val="20"/>
          <w:color w:val="auto"/>
        </w:rPr>
        <w:t>amortization</w:t>
      </w:r>
    </w:p>
    <w:p>
      <w:pPr>
        <w:spacing w:after="0" w:line="5" w:lineRule="exact"/>
        <w:rPr>
          <w:sz w:val="20"/>
          <w:szCs w:val="20"/>
          <w:color w:val="auto"/>
        </w:rPr>
      </w:pPr>
    </w:p>
    <w:p>
      <w:pPr>
        <w:ind w:left="22" w:right="360"/>
        <w:spacing w:after="0" w:line="256" w:lineRule="auto"/>
        <w:rPr>
          <w:sz w:val="20"/>
          <w:szCs w:val="20"/>
          <w:color w:val="auto"/>
        </w:rPr>
      </w:pPr>
      <w:r>
        <w:rPr>
          <w:rFonts w:ascii="Times New Roman" w:cs="Times New Roman" w:eastAsia="Times New Roman" w:hAnsi="Times New Roman"/>
          <w:sz w:val="19"/>
          <w:szCs w:val="19"/>
          <w:color w:val="auto"/>
        </w:rPr>
        <w:t>Operating income</w:t>
      </w:r>
    </w:p>
    <w:p>
      <w:pPr>
        <w:spacing w:after="0" w:line="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Interest</w:t>
      </w:r>
    </w:p>
    <w:p>
      <w:pPr>
        <w:spacing w:after="0" w:line="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expense</w:t>
      </w:r>
    </w:p>
    <w:p>
      <w:pPr>
        <w:spacing w:after="0" w:line="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0"/>
          <w:szCs w:val="20"/>
          <w:color w:val="auto"/>
        </w:rPr>
        <w:t>Other, net</w:t>
      </w:r>
    </w:p>
    <w:p>
      <w:pPr>
        <w:spacing w:after="0" w:line="16" w:lineRule="exact"/>
        <w:rPr>
          <w:sz w:val="20"/>
          <w:szCs w:val="20"/>
          <w:color w:val="auto"/>
        </w:rPr>
      </w:pPr>
    </w:p>
    <w:p>
      <w:pPr>
        <w:ind w:left="22"/>
        <w:spacing w:after="0" w:line="256" w:lineRule="auto"/>
        <w:rPr>
          <w:sz w:val="20"/>
          <w:szCs w:val="20"/>
          <w:color w:val="auto"/>
        </w:rPr>
      </w:pPr>
      <w:r>
        <w:rPr>
          <w:rFonts w:ascii="Times New Roman" w:cs="Times New Roman" w:eastAsia="Times New Roman" w:hAnsi="Times New Roman"/>
          <w:sz w:val="19"/>
          <w:szCs w:val="19"/>
          <w:color w:val="auto"/>
        </w:rPr>
        <w:t>Income before income taxes</w:t>
      </w:r>
    </w:p>
    <w:p>
      <w:pPr>
        <w:spacing w:after="0" w:line="1" w:lineRule="exact"/>
        <w:rPr>
          <w:sz w:val="20"/>
          <w:szCs w:val="20"/>
          <w:color w:val="auto"/>
        </w:rPr>
      </w:pPr>
    </w:p>
    <w:p>
      <w:pPr>
        <w:ind w:left="22" w:right="260"/>
        <w:spacing w:after="0" w:line="256" w:lineRule="auto"/>
        <w:rPr>
          <w:sz w:val="20"/>
          <w:szCs w:val="20"/>
          <w:color w:val="auto"/>
        </w:rPr>
      </w:pPr>
      <w:r>
        <w:rPr>
          <w:rFonts w:ascii="Times New Roman" w:cs="Times New Roman" w:eastAsia="Times New Roman" w:hAnsi="Times New Roman"/>
          <w:sz w:val="19"/>
          <w:szCs w:val="19"/>
          <w:color w:val="auto"/>
        </w:rPr>
        <w:t>Income tax expense</w:t>
      </w:r>
    </w:p>
    <w:p>
      <w:pPr>
        <w:spacing w:after="0" w:line="1" w:lineRule="exact"/>
        <w:rPr>
          <w:sz w:val="20"/>
          <w:szCs w:val="20"/>
          <w:color w:val="auto"/>
        </w:rPr>
      </w:pPr>
    </w:p>
    <w:p>
      <w:pPr>
        <w:ind w:left="22" w:right="240"/>
        <w:spacing w:after="0" w:line="273" w:lineRule="auto"/>
        <w:rPr>
          <w:sz w:val="20"/>
          <w:szCs w:val="20"/>
          <w:color w:val="auto"/>
        </w:rPr>
      </w:pPr>
      <w:r>
        <w:rPr>
          <w:rFonts w:ascii="Times New Roman" w:cs="Times New Roman" w:eastAsia="Times New Roman" w:hAnsi="Times New Roman"/>
          <w:sz w:val="19"/>
          <w:szCs w:val="19"/>
          <w:color w:val="auto"/>
        </w:rPr>
        <w:t>Net income (loss)</w:t>
      </w:r>
    </w:p>
    <w:p>
      <w:pPr>
        <w:spacing w:after="0" w:line="229" w:lineRule="exact"/>
        <w:rPr>
          <w:sz w:val="20"/>
          <w:szCs w:val="20"/>
          <w:color w:val="auto"/>
        </w:rPr>
      </w:pPr>
    </w:p>
    <w:p>
      <w:pPr>
        <w:ind w:left="22" w:right="180"/>
        <w:spacing w:after="0" w:line="245" w:lineRule="auto"/>
        <w:rPr>
          <w:sz w:val="20"/>
          <w:szCs w:val="20"/>
          <w:color w:val="auto"/>
        </w:rPr>
      </w:pPr>
      <w:r>
        <w:rPr>
          <w:rFonts w:ascii="Times New Roman" w:cs="Times New Roman" w:eastAsia="Times New Roman" w:hAnsi="Times New Roman"/>
          <w:sz w:val="20"/>
          <w:szCs w:val="20"/>
          <w:color w:val="auto"/>
        </w:rPr>
        <w:t>Diluted earnings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61"/>
        </w:trPr>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Reconciliation</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3,350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20,515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5,630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3,766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6,307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3,939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1,257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12,042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13,940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24,409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28,126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24,650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19,192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48,899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43,932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43,360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60,113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70,461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77,875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5"/>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809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23,802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44,169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63,135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71,551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101,677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60" w:type="dxa"/>
            <w:vAlign w:val="bottom"/>
          </w:tcPr>
          <w:p>
            <w:pPr>
              <w:spacing w:after="0"/>
              <w:rPr>
                <w:sz w:val="8"/>
                <w:szCs w:val="8"/>
                <w:color w:val="auto"/>
              </w:rPr>
            </w:pPr>
          </w:p>
        </w:tc>
        <w:tc>
          <w:tcPr>
            <w:tcW w:w="2140" w:type="dxa"/>
            <w:vAlign w:val="bottom"/>
            <w:gridSpan w:val="4"/>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gridSpan w:val="4"/>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40" w:type="dxa"/>
            <w:vAlign w:val="bottom"/>
            <w:gridSpan w:val="4"/>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4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0" w:type="dxa"/>
            <w:vAlign w:val="bottom"/>
            <w:tcBorders>
              <w:left w:val="single" w:sz="8" w:color="auto"/>
            </w:tcBorders>
          </w:tcPr>
          <w:p>
            <w:pPr>
              <w:spacing w:after="0"/>
              <w:rPr>
                <w:sz w:val="17"/>
                <w:szCs w:val="17"/>
                <w:color w:val="auto"/>
              </w:rPr>
            </w:pPr>
          </w:p>
        </w:tc>
        <w:tc>
          <w:tcPr>
            <w:tcW w:w="2140" w:type="dxa"/>
            <w:vAlign w:val="bottom"/>
            <w:tcBorders>
              <w:right w:val="single" w:sz="8" w:color="auto"/>
            </w:tcBorders>
            <w:gridSpan w:val="4"/>
          </w:tcPr>
          <w:p>
            <w:pPr>
              <w:jc w:val="right"/>
              <w:ind w:right="162"/>
              <w:spacing w:after="0" w:line="197" w:lineRule="exact"/>
              <w:rPr>
                <w:sz w:val="20"/>
                <w:szCs w:val="20"/>
                <w:color w:val="auto"/>
              </w:rPr>
            </w:pPr>
            <w:r>
              <w:rPr>
                <w:rFonts w:ascii="Times New Roman" w:cs="Times New Roman" w:eastAsia="Times New Roman" w:hAnsi="Times New Roman"/>
                <w:sz w:val="20"/>
                <w:szCs w:val="20"/>
                <w:b w:val="1"/>
                <w:bCs w:val="1"/>
                <w:color w:val="auto"/>
              </w:rPr>
              <w:t>Three Months Ended</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right w:val="single" w:sz="8" w:color="auto"/>
            </w:tcBorders>
            <w:gridSpan w:val="4"/>
          </w:tcPr>
          <w:p>
            <w:pPr>
              <w:jc w:val="right"/>
              <w:ind w:right="182"/>
              <w:spacing w:after="0" w:line="197" w:lineRule="exact"/>
              <w:rPr>
                <w:sz w:val="20"/>
                <w:szCs w:val="20"/>
                <w:color w:val="auto"/>
              </w:rPr>
            </w:pPr>
            <w:r>
              <w:rPr>
                <w:rFonts w:ascii="Times New Roman" w:cs="Times New Roman" w:eastAsia="Times New Roman" w:hAnsi="Times New Roman"/>
                <w:sz w:val="20"/>
                <w:szCs w:val="20"/>
                <w:b w:val="1"/>
                <w:bCs w:val="1"/>
                <w:color w:val="auto"/>
              </w:rPr>
              <w:t>Three Months Ended</w:t>
            </w: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right w:val="single" w:sz="8" w:color="auto"/>
            </w:tcBorders>
            <w:gridSpan w:val="4"/>
          </w:tcPr>
          <w:p>
            <w:pPr>
              <w:jc w:val="right"/>
              <w:ind w:right="282"/>
              <w:spacing w:after="0" w:line="197" w:lineRule="exact"/>
              <w:rPr>
                <w:sz w:val="20"/>
                <w:szCs w:val="20"/>
                <w:color w:val="auto"/>
              </w:rPr>
            </w:pPr>
            <w:r>
              <w:rPr>
                <w:rFonts w:ascii="Times New Roman" w:cs="Times New Roman" w:eastAsia="Times New Roman" w:hAnsi="Times New Roman"/>
                <w:sz w:val="20"/>
                <w:szCs w:val="20"/>
                <w:b w:val="1"/>
                <w:bCs w:val="1"/>
                <w:color w:val="auto"/>
              </w:rPr>
              <w:t>Six Months Ended</w:t>
            </w: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right w:val="single" w:sz="8" w:color="auto"/>
            </w:tcBorders>
            <w:gridSpan w:val="4"/>
          </w:tcPr>
          <w:p>
            <w:pPr>
              <w:jc w:val="right"/>
              <w:ind w:right="282"/>
              <w:spacing w:after="0" w:line="197" w:lineRule="exact"/>
              <w:rPr>
                <w:sz w:val="20"/>
                <w:szCs w:val="20"/>
                <w:color w:val="auto"/>
              </w:rPr>
            </w:pPr>
            <w:r>
              <w:rPr>
                <w:rFonts w:ascii="Times New Roman" w:cs="Times New Roman" w:eastAsia="Times New Roman" w:hAnsi="Times New Roman"/>
                <w:sz w:val="20"/>
                <w:szCs w:val="20"/>
                <w:b w:val="1"/>
                <w:bCs w:val="1"/>
                <w:color w:val="auto"/>
              </w:rPr>
              <w:t>Six Months Ended</w:t>
            </w:r>
          </w:p>
        </w:tc>
        <w:tc>
          <w:tcPr>
            <w:tcW w:w="0" w:type="dxa"/>
            <w:vAlign w:val="bottom"/>
          </w:tcPr>
          <w:p>
            <w:pPr>
              <w:spacing w:after="0"/>
              <w:rPr>
                <w:sz w:val="1"/>
                <w:szCs w:val="1"/>
                <w:color w:val="auto"/>
              </w:rPr>
            </w:pPr>
          </w:p>
        </w:tc>
      </w:tr>
      <w:tr>
        <w:trPr>
          <w:trHeight w:val="262"/>
        </w:trPr>
        <w:tc>
          <w:tcPr>
            <w:tcW w:w="160" w:type="dxa"/>
            <w:vAlign w:val="bottom"/>
            <w:tcBorders>
              <w:left w:val="single" w:sz="8" w:color="auto"/>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20"/>
                <w:szCs w:val="20"/>
                <w:b w:val="1"/>
                <w:bCs w:val="1"/>
                <w:color w:val="auto"/>
              </w:rPr>
              <w:t>April 30, 2026</w:t>
            </w:r>
          </w:p>
        </w:tc>
        <w:tc>
          <w:tcPr>
            <w:tcW w:w="300" w:type="dxa"/>
            <w:vAlign w:val="bottom"/>
            <w:tcBorders>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60" w:type="dxa"/>
            <w:vAlign w:val="bottom"/>
            <w:tcBorders>
              <w:bottom w:val="single" w:sz="8" w:color="auto"/>
              <w:right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April 30, 2025</w:t>
            </w:r>
          </w:p>
        </w:tc>
        <w:tc>
          <w:tcPr>
            <w:tcW w:w="280" w:type="dxa"/>
            <w:vAlign w:val="bottom"/>
            <w:tcBorders>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April 30, 2026</w:t>
            </w:r>
          </w:p>
        </w:tc>
        <w:tc>
          <w:tcPr>
            <w:tcW w:w="280" w:type="dxa"/>
            <w:vAlign w:val="bottom"/>
            <w:tcBorders>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20"/>
                <w:szCs w:val="20"/>
                <w:b w:val="1"/>
                <w:bCs w:val="1"/>
                <w:color w:val="auto"/>
              </w:rPr>
              <w:t>April 30, 2025</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20"/>
                <w:szCs w:val="20"/>
                <w:b w:val="1"/>
                <w:bCs w:val="1"/>
                <w:color w:val="auto"/>
                <w:w w:val="97"/>
              </w:rPr>
              <w:t>Income</w:t>
            </w:r>
          </w:p>
        </w:tc>
        <w:tc>
          <w:tcPr>
            <w:tcW w:w="100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b w:val="1"/>
                <w:bCs w:val="1"/>
                <w:color w:val="auto"/>
                <w:w w:val="95"/>
              </w:rPr>
              <w:t>Reconciling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20"/>
                <w:szCs w:val="20"/>
                <w:b w:val="1"/>
                <w:bCs w:val="1"/>
                <w:color w:val="auto"/>
                <w:w w:val="97"/>
              </w:rPr>
              <w:t>Income</w:t>
            </w:r>
          </w:p>
        </w:tc>
        <w:tc>
          <w:tcPr>
            <w:tcW w:w="102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b w:val="1"/>
                <w:bCs w:val="1"/>
                <w:color w:val="auto"/>
                <w:w w:val="97"/>
              </w:rPr>
              <w:t>Reconciling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20"/>
                <w:szCs w:val="20"/>
                <w:b w:val="1"/>
                <w:bCs w:val="1"/>
                <w:color w:val="auto"/>
                <w:w w:val="97"/>
              </w:rPr>
              <w:t>Income</w:t>
            </w:r>
          </w:p>
        </w:tc>
        <w:tc>
          <w:tcPr>
            <w:tcW w:w="102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b w:val="1"/>
                <w:bCs w:val="1"/>
                <w:color w:val="auto"/>
                <w:w w:val="97"/>
              </w:rPr>
              <w:t>Reconciling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20"/>
                <w:szCs w:val="20"/>
                <w:b w:val="1"/>
                <w:bCs w:val="1"/>
                <w:color w:val="auto"/>
                <w:w w:val="97"/>
              </w:rPr>
              <w:t>Income</w:t>
            </w:r>
          </w:p>
        </w:tc>
        <w:tc>
          <w:tcPr>
            <w:tcW w:w="10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20"/>
                <w:szCs w:val="20"/>
                <w:b w:val="1"/>
                <w:bCs w:val="1"/>
                <w:color w:val="auto"/>
                <w:w w:val="95"/>
              </w:rPr>
              <w:t>Reconciling</w:t>
            </w:r>
          </w:p>
        </w:tc>
        <w:tc>
          <w:tcPr>
            <w:tcW w:w="0" w:type="dxa"/>
            <w:vAlign w:val="bottom"/>
          </w:tcPr>
          <w:p>
            <w:pPr>
              <w:spacing w:after="0"/>
              <w:rPr>
                <w:sz w:val="1"/>
                <w:szCs w:val="1"/>
                <w:color w:val="auto"/>
              </w:rPr>
            </w:pPr>
          </w:p>
        </w:tc>
      </w:tr>
      <w:tr>
        <w:trPr>
          <w:trHeight w:val="262"/>
        </w:trPr>
        <w:tc>
          <w:tcPr>
            <w:tcW w:w="16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Statement</w:t>
            </w:r>
          </w:p>
        </w:tc>
        <w:tc>
          <w:tcPr>
            <w:tcW w:w="180" w:type="dxa"/>
            <w:vAlign w:val="bottom"/>
          </w:tcPr>
          <w:p>
            <w:pPr>
              <w:spacing w:after="0"/>
              <w:rPr>
                <w:sz w:val="22"/>
                <w:szCs w:val="22"/>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Items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Statement</w:t>
            </w:r>
          </w:p>
        </w:tc>
        <w:tc>
          <w:tcPr>
            <w:tcW w:w="180" w:type="dxa"/>
            <w:vAlign w:val="bottom"/>
          </w:tcPr>
          <w:p>
            <w:pPr>
              <w:spacing w:after="0"/>
              <w:rPr>
                <w:sz w:val="22"/>
                <w:szCs w:val="22"/>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Items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Statement</w:t>
            </w:r>
          </w:p>
        </w:tc>
        <w:tc>
          <w:tcPr>
            <w:tcW w:w="200" w:type="dxa"/>
            <w:vAlign w:val="bottom"/>
          </w:tcPr>
          <w:p>
            <w:pPr>
              <w:spacing w:after="0"/>
              <w:rPr>
                <w:sz w:val="22"/>
                <w:szCs w:val="22"/>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Items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Statement</w:t>
            </w:r>
          </w:p>
        </w:tc>
        <w:tc>
          <w:tcPr>
            <w:tcW w:w="200" w:type="dxa"/>
            <w:vAlign w:val="bottom"/>
          </w:tcPr>
          <w:p>
            <w:pPr>
              <w:spacing w:after="0"/>
              <w:rPr>
                <w:sz w:val="22"/>
                <w:szCs w:val="22"/>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Items</w:t>
            </w:r>
          </w:p>
        </w:tc>
        <w:tc>
          <w:tcPr>
            <w:tcW w:w="0" w:type="dxa"/>
            <w:vAlign w:val="bottom"/>
          </w:tcPr>
          <w:p>
            <w:pPr>
              <w:spacing w:after="0"/>
              <w:rPr>
                <w:sz w:val="1"/>
                <w:szCs w:val="1"/>
                <w:color w:val="auto"/>
              </w:rPr>
            </w:pPr>
          </w:p>
        </w:tc>
      </w:tr>
      <w:tr>
        <w:trPr>
          <w:trHeight w:val="226"/>
        </w:trPr>
        <w:tc>
          <w:tcPr>
            <w:tcW w:w="16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462,367</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20"/>
                <w:szCs w:val="20"/>
                <w:i w:val="1"/>
                <w:iCs w:val="1"/>
                <w:color w:val="auto"/>
              </w:rPr>
              <w:t>(1)</w:t>
            </w:r>
          </w:p>
        </w:tc>
        <w:tc>
          <w:tcPr>
            <w:tcW w:w="1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452,478</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ind w:right="62"/>
              <w:spacing w:after="0" w:line="22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i w:val="1"/>
                <w:iCs w:val="1"/>
                <w:color w:val="auto"/>
              </w:rPr>
              <w:t>(1)</w:t>
            </w:r>
          </w:p>
        </w:tc>
        <w:tc>
          <w:tcPr>
            <w:tcW w:w="16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871,456</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i w:val="1"/>
                <w:iCs w:val="1"/>
                <w:color w:val="auto"/>
              </w:rPr>
              <w:t>(1)</w:t>
            </w:r>
          </w:p>
        </w:tc>
        <w:tc>
          <w:tcPr>
            <w:tcW w:w="16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852,522</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344,575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3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321,096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w:t>
            </w:r>
          </w:p>
        </w:tc>
        <w:tc>
          <w:tcPr>
            <w:tcW w:w="2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655,137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628,824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(9,983)</w:t>
            </w:r>
          </w:p>
        </w:tc>
        <w:tc>
          <w:tcPr>
            <w:tcW w:w="0" w:type="dxa"/>
            <w:vAlign w:val="bottom"/>
          </w:tcPr>
          <w:p>
            <w:pPr>
              <w:spacing w:after="0"/>
              <w:rPr>
                <w:sz w:val="1"/>
                <w:szCs w:val="1"/>
                <w:color w:val="auto"/>
              </w:rPr>
            </w:pPr>
          </w:p>
        </w:tc>
      </w:tr>
      <w:tr>
        <w:trPr>
          <w:trHeight w:val="319"/>
        </w:trPr>
        <w:tc>
          <w:tcPr>
            <w:tcW w:w="160" w:type="dxa"/>
            <w:vAlign w:val="bottom"/>
          </w:tcPr>
          <w:p>
            <w:pPr>
              <w:spacing w:after="0"/>
              <w:rPr>
                <w:sz w:val="24"/>
                <w:szCs w:val="24"/>
                <w:color w:val="auto"/>
              </w:rPr>
            </w:pPr>
          </w:p>
        </w:tc>
        <w:tc>
          <w:tcPr>
            <w:tcW w:w="10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74,432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3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1"/>
              </w:rPr>
              <w:t>(1),</w:t>
            </w:r>
          </w:p>
        </w:tc>
        <w:tc>
          <w:tcPr>
            <w:tcW w:w="140" w:type="dxa"/>
            <w:vAlign w:val="bottom"/>
          </w:tcPr>
          <w:p>
            <w:pPr>
              <w:spacing w:after="0"/>
              <w:rPr>
                <w:sz w:val="24"/>
                <w:szCs w:val="24"/>
                <w:color w:val="auto"/>
              </w:rPr>
            </w:pPr>
          </w:p>
        </w:tc>
        <w:tc>
          <w:tcPr>
            <w:tcW w:w="10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70,333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1"/>
              </w:rPr>
              <w:t>(1),</w:t>
            </w:r>
          </w:p>
        </w:tc>
        <w:tc>
          <w:tcPr>
            <w:tcW w:w="160" w:type="dxa"/>
            <w:vAlign w:val="bottom"/>
          </w:tcPr>
          <w:p>
            <w:pPr>
              <w:spacing w:after="0"/>
              <w:rPr>
                <w:sz w:val="24"/>
                <w:szCs w:val="24"/>
                <w:color w:val="auto"/>
              </w:rPr>
            </w:pPr>
          </w:p>
        </w:tc>
        <w:tc>
          <w:tcPr>
            <w:tcW w:w="10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145,858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1"/>
              </w:rPr>
              <w:t>(1),</w:t>
            </w:r>
          </w:p>
        </w:tc>
        <w:tc>
          <w:tcPr>
            <w:tcW w:w="160" w:type="dxa"/>
            <w:vAlign w:val="bottom"/>
          </w:tcPr>
          <w:p>
            <w:pPr>
              <w:spacing w:after="0"/>
              <w:rPr>
                <w:sz w:val="24"/>
                <w:szCs w:val="24"/>
                <w:color w:val="auto"/>
              </w:rPr>
            </w:pPr>
          </w:p>
        </w:tc>
        <w:tc>
          <w:tcPr>
            <w:tcW w:w="104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136,983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(4,979)</w:t>
            </w:r>
          </w:p>
        </w:tc>
        <w:tc>
          <w:tcPr>
            <w:tcW w:w="0" w:type="dxa"/>
            <w:vAlign w:val="bottom"/>
          </w:tcPr>
          <w:p>
            <w:pPr>
              <w:spacing w:after="0"/>
              <w:rPr>
                <w:sz w:val="1"/>
                <w:szCs w:val="1"/>
                <w:color w:val="auto"/>
              </w:rPr>
            </w:pPr>
          </w:p>
        </w:tc>
      </w:tr>
      <w:tr>
        <w:trPr>
          <w:trHeight w:val="259"/>
        </w:trPr>
        <w:tc>
          <w:tcPr>
            <w:tcW w:w="1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(3)</w:t>
            </w:r>
          </w:p>
        </w:tc>
        <w:tc>
          <w:tcPr>
            <w:tcW w:w="1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w w:val="85"/>
              </w:rPr>
              <w:t>(3)</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w w:val="85"/>
              </w:rPr>
              <w:t>(3)</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936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(936) </w:t>
            </w:r>
            <w:r>
              <w:rPr>
                <w:rFonts w:ascii="Times New Roman" w:cs="Times New Roman" w:eastAsia="Times New Roman" w:hAnsi="Times New Roman"/>
                <w:sz w:val="20"/>
                <w:szCs w:val="20"/>
                <w:i w:val="1"/>
                <w:iCs w:val="1"/>
                <w:color w:val="auto"/>
              </w:rPr>
              <w:t>(4)</w:t>
            </w: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(5)</w:t>
            </w: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8,840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112"/>
        </w:trPr>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43,360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809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60,113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3,022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70,461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1,090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77,875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23,802</w:t>
            </w:r>
          </w:p>
        </w:tc>
        <w:tc>
          <w:tcPr>
            <w:tcW w:w="0" w:type="dxa"/>
            <w:vAlign w:val="bottom"/>
          </w:tcPr>
          <w:p>
            <w:pPr>
              <w:spacing w:after="0"/>
              <w:rPr>
                <w:sz w:val="1"/>
                <w:szCs w:val="1"/>
                <w:color w:val="auto"/>
              </w:rPr>
            </w:pPr>
          </w:p>
        </w:tc>
      </w:tr>
      <w:tr>
        <w:trPr>
          <w:trHeight w:val="454"/>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24,650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(9,776)</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(5)</w:t>
            </w: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19,192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(6,454)</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(5)</w:t>
            </w: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48,899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(19,533)</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(7)</w:t>
            </w: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43,932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(17,104)</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18,710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10,585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40,921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9,476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21,562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20,623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33,943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40,906</w:t>
            </w:r>
          </w:p>
        </w:tc>
        <w:tc>
          <w:tcPr>
            <w:tcW w:w="0" w:type="dxa"/>
            <w:vAlign w:val="bottom"/>
          </w:tcPr>
          <w:p>
            <w:pPr>
              <w:spacing w:after="0"/>
              <w:rPr>
                <w:sz w:val="1"/>
                <w:szCs w:val="1"/>
                <w:color w:val="auto"/>
              </w:rPr>
            </w:pPr>
          </w:p>
        </w:tc>
      </w:tr>
      <w:tr>
        <w:trPr>
          <w:trHeight w:val="467"/>
        </w:trPr>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7"/>
        </w:trPr>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448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(6)</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1,003</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(6)</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6,065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(5,230)</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(6)</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1,070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831</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7,116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10,427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26,822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10,479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3,218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15,393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6,887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41,737</w:t>
            </w:r>
          </w:p>
        </w:tc>
        <w:tc>
          <w:tcPr>
            <w:tcW w:w="0" w:type="dxa"/>
            <w:vAlign w:val="bottom"/>
          </w:tcPr>
          <w:p>
            <w:pPr>
              <w:spacing w:after="0"/>
              <w:rPr>
                <w:sz w:val="1"/>
                <w:szCs w:val="1"/>
                <w:color w:val="auto"/>
              </w:rPr>
            </w:pPr>
          </w:p>
        </w:tc>
      </w:tr>
      <w:tr>
        <w:trPr>
          <w:trHeight w:val="467"/>
        </w:trPr>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(2,514)</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(7)</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(1,882)</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(3,679)</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(9,293)</w:t>
            </w:r>
          </w:p>
        </w:tc>
        <w:tc>
          <w:tcPr>
            <w:tcW w:w="0" w:type="dxa"/>
            <w:vAlign w:val="bottom"/>
          </w:tcPr>
          <w:p>
            <w:pPr>
              <w:spacing w:after="0"/>
              <w:rPr>
                <w:sz w:val="1"/>
                <w:szCs w:val="1"/>
                <w:color w:val="auto"/>
              </w:rPr>
            </w:pPr>
          </w:p>
        </w:tc>
      </w:tr>
      <w:tr>
        <w:trPr>
          <w:trHeight w:val="112"/>
        </w:trPr>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3,350</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7,913</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20,515</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8,597</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11,714</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5,630</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32,444</w:t>
            </w:r>
          </w:p>
        </w:tc>
        <w:tc>
          <w:tcPr>
            <w:tcW w:w="0" w:type="dxa"/>
            <w:vAlign w:val="bottom"/>
          </w:tcPr>
          <w:p>
            <w:pPr>
              <w:spacing w:after="0"/>
              <w:rPr>
                <w:sz w:val="1"/>
                <w:szCs w:val="1"/>
                <w:color w:val="auto"/>
              </w:rPr>
            </w:pPr>
          </w:p>
        </w:tc>
      </w:tr>
      <w:tr>
        <w:trPr>
          <w:trHeight w:val="100"/>
        </w:trPr>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0.44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5" w:lineRule="exact"/>
        <w:rPr>
          <w:sz w:val="20"/>
          <w:szCs w:val="20"/>
          <w:color w:val="auto"/>
        </w:rPr>
      </w:pPr>
    </w:p>
    <w:p>
      <w:pPr>
        <w:sectPr>
          <w:pgSz w:w="11900" w:h="16838" w:orient="portrait"/>
          <w:cols w:equalWidth="0" w:num="2">
            <w:col w:w="1162" w:space="140"/>
            <w:col w:w="10040"/>
          </w:cols>
          <w:pgMar w:left="318" w:top="112" w:right="239" w:bottom="0" w:gutter="0" w:footer="0" w:header="0"/>
        </w:sectPr>
      </w:pPr>
    </w:p>
    <w:p>
      <w:pPr>
        <w:spacing w:after="0" w:line="215" w:lineRule="exact"/>
        <w:rPr>
          <w:sz w:val="20"/>
          <w:szCs w:val="20"/>
          <w:color w:val="auto"/>
        </w:rPr>
      </w:pPr>
    </w:p>
    <w:p>
      <w:pPr>
        <w:ind w:left="282" w:hanging="282"/>
        <w:spacing w:after="0"/>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related to plant closure/relocation.</w:t>
      </w:r>
    </w:p>
    <w:p>
      <w:pPr>
        <w:spacing w:after="0" w:line="13" w:lineRule="exact"/>
        <w:rPr>
          <w:rFonts w:ascii="Times New Roman" w:cs="Times New Roman" w:eastAsia="Times New Roman" w:hAnsi="Times New Roman"/>
          <w:sz w:val="20"/>
          <w:szCs w:val="20"/>
          <w:color w:val="auto"/>
        </w:rPr>
      </w:pPr>
    </w:p>
    <w:p>
      <w:pPr>
        <w:ind w:left="282" w:hanging="282"/>
        <w:spacing w:after="0" w:line="230" w:lineRule="auto"/>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step-up for purchase price adjustments on inventory.</w:t>
      </w:r>
    </w:p>
    <w:p>
      <w:pPr>
        <w:ind w:left="282" w:hanging="282"/>
        <w:spacing w:after="0" w:line="230" w:lineRule="auto"/>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advisory fees, reorganization costs and product recall expenses.</w:t>
      </w:r>
    </w:p>
    <w:p>
      <w:pPr>
        <w:ind w:left="282" w:hanging="282"/>
        <w:spacing w:after="0" w:line="230" w:lineRule="auto"/>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charges related to severance and disposal of software.</w:t>
      </w:r>
    </w:p>
    <w:p>
      <w:pPr>
        <w:ind w:left="282" w:hanging="282"/>
        <w:spacing w:after="0" w:line="230" w:lineRule="auto"/>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expense related to intangible assets.</w:t>
      </w:r>
    </w:p>
    <w:p>
      <w:pPr>
        <w:ind w:left="282" w:hanging="282"/>
        <w:spacing w:after="0" w:line="230" w:lineRule="auto"/>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transaction (gains) losses.</w:t>
      </w:r>
    </w:p>
    <w:p>
      <w:pPr>
        <w:ind w:left="282" w:hanging="282"/>
        <w:spacing w:after="0"/>
        <w:tabs>
          <w:tab w:leader="none" w:pos="2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impact of net income reconciling items.</w:t>
      </w:r>
    </w:p>
    <w:p>
      <w:pPr>
        <w:spacing w:after="0" w:line="200" w:lineRule="exact"/>
        <w:rPr>
          <w:sz w:val="20"/>
          <w:szCs w:val="20"/>
          <w:color w:val="auto"/>
        </w:rPr>
      </w:pPr>
    </w:p>
    <w:p>
      <w:pPr>
        <w:spacing w:after="0" w:line="220"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0"/>
          <w:szCs w:val="20"/>
          <w:b w:val="1"/>
          <w:bCs w:val="1"/>
          <w:color w:val="auto"/>
        </w:rPr>
        <w:t>SELECTED SEGMENT DATA</w:t>
      </w:r>
    </w:p>
    <w:p>
      <w:pPr>
        <w:jc w:val="center"/>
        <w:ind w:right="98"/>
        <w:spacing w:after="0" w:line="230" w:lineRule="auto"/>
        <w:rPr>
          <w:sz w:val="20"/>
          <w:szCs w:val="20"/>
          <w:color w:val="auto"/>
        </w:rPr>
      </w:pPr>
      <w:r>
        <w:rPr>
          <w:rFonts w:ascii="Times New Roman" w:cs="Times New Roman" w:eastAsia="Times New Roman" w:hAnsi="Times New Roman"/>
          <w:sz w:val="20"/>
          <w:szCs w:val="20"/>
          <w:color w:val="auto"/>
        </w:rPr>
        <w:t>(In thousands)</w:t>
      </w:r>
    </w:p>
    <w:p>
      <w:pPr>
        <w:spacing w:after="0" w:line="1"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4" w:lineRule="exact"/>
        <w:rPr>
          <w:sz w:val="20"/>
          <w:szCs w:val="20"/>
          <w:color w:val="auto"/>
        </w:rPr>
      </w:pPr>
    </w:p>
    <w:p>
      <w:pPr>
        <w:ind w:left="2" w:right="360"/>
        <w:spacing w:after="0" w:line="259" w:lineRule="auto"/>
        <w:rPr>
          <w:sz w:val="20"/>
          <w:szCs w:val="20"/>
          <w:color w:val="auto"/>
        </w:rPr>
      </w:pPr>
      <w:r>
        <w:rPr>
          <w:rFonts w:ascii="Times New Roman" w:cs="Times New Roman" w:eastAsia="Times New Roman" w:hAnsi="Times New Roman"/>
          <w:sz w:val="20"/>
          <w:szCs w:val="20"/>
          <w:color w:val="auto"/>
        </w:rPr>
        <w:t>This table provides gross margin, operating income (loss), EBITDA, and Adjusted EBITDA by reportable segment. Non-operating expense and income tax expense are not allocated to the reportable segments.</w:t>
      </w:r>
    </w:p>
    <w:p>
      <w:pPr>
        <w:spacing w:after="0" w:line="164" w:lineRule="exact"/>
        <w:rPr>
          <w:sz w:val="20"/>
          <w:szCs w:val="20"/>
          <w:color w:val="auto"/>
        </w:rPr>
      </w:pPr>
    </w:p>
    <w:p>
      <w:pPr>
        <w:ind w:left="3202"/>
        <w:spacing w:after="0"/>
        <w:tabs>
          <w:tab w:leader="none" w:pos="4921" w:val="left"/>
          <w:tab w:leader="none" w:pos="6301" w:val="left"/>
          <w:tab w:leader="none" w:pos="8241" w:val="left"/>
          <w:tab w:leader="none" w:pos="10201" w:val="left"/>
        </w:tabs>
        <w:rPr>
          <w:sz w:val="20"/>
          <w:szCs w:val="20"/>
          <w:color w:val="auto"/>
        </w:rPr>
      </w:pPr>
      <w:r>
        <w:rPr>
          <w:rFonts w:ascii="Times New Roman" w:cs="Times New Roman" w:eastAsia="Times New Roman" w:hAnsi="Times New Roman"/>
          <w:sz w:val="20"/>
          <w:szCs w:val="20"/>
          <w:b w:val="1"/>
          <w:bCs w:val="1"/>
          <w:color w:val="auto"/>
        </w:rPr>
        <w:t>Hardware</w:t>
      </w:r>
      <w:r>
        <w:rPr>
          <w:sz w:val="20"/>
          <w:szCs w:val="20"/>
          <w:color w:val="auto"/>
        </w:rPr>
        <w:tab/>
      </w:r>
      <w:r>
        <w:rPr>
          <w:rFonts w:ascii="Times New Roman" w:cs="Times New Roman" w:eastAsia="Times New Roman" w:hAnsi="Times New Roman"/>
          <w:sz w:val="20"/>
          <w:szCs w:val="20"/>
          <w:b w:val="1"/>
          <w:bCs w:val="1"/>
          <w:color w:val="auto"/>
        </w:rPr>
        <w:t>Extruded</w:t>
      </w:r>
      <w:r>
        <w:rPr>
          <w:sz w:val="20"/>
          <w:szCs w:val="20"/>
          <w:color w:val="auto"/>
        </w:rPr>
        <w:tab/>
      </w:r>
      <w:r>
        <w:rPr>
          <w:rFonts w:ascii="Times New Roman" w:cs="Times New Roman" w:eastAsia="Times New Roman" w:hAnsi="Times New Roman"/>
          <w:sz w:val="20"/>
          <w:szCs w:val="20"/>
          <w:b w:val="1"/>
          <w:bCs w:val="1"/>
          <w:color w:val="auto"/>
        </w:rPr>
        <w:t>Custom Solutions</w:t>
      </w:r>
      <w:r>
        <w:rPr>
          <w:sz w:val="20"/>
          <w:szCs w:val="20"/>
          <w:color w:val="auto"/>
        </w:rPr>
        <w:tab/>
      </w:r>
      <w:r>
        <w:rPr>
          <w:rFonts w:ascii="Times New Roman" w:cs="Times New Roman" w:eastAsia="Times New Roman" w:hAnsi="Times New Roman"/>
          <w:sz w:val="20"/>
          <w:szCs w:val="20"/>
          <w:b w:val="1"/>
          <w:bCs w:val="1"/>
          <w:color w:val="auto"/>
        </w:rPr>
        <w:t>Unallocated</w:t>
      </w:r>
      <w:r>
        <w:rPr>
          <w:sz w:val="20"/>
          <w:szCs w:val="20"/>
          <w:color w:val="auto"/>
        </w:rPr>
        <w:tab/>
      </w:r>
      <w:r>
        <w:rPr>
          <w:rFonts w:ascii="Times New Roman" w:cs="Times New Roman" w:eastAsia="Times New Roman" w:hAnsi="Times New Roman"/>
          <w:sz w:val="19"/>
          <w:szCs w:val="19"/>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1803400</wp:posOffset>
            </wp:positionH>
            <wp:positionV relativeFrom="paragraph">
              <wp:posOffset>-142240</wp:posOffset>
            </wp:positionV>
            <wp:extent cx="53409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0985" cy="7620"/>
                    </a:xfrm>
                    <a:prstGeom prst="rect">
                      <a:avLst/>
                    </a:prstGeom>
                    <a:noFill/>
                  </pic:spPr>
                </pic:pic>
              </a:graphicData>
            </a:graphic>
          </wp:anchor>
        </w:drawing>
      </w:r>
    </w:p>
    <w:p>
      <w:pPr>
        <w:sectPr>
          <w:pgSz w:w="11900" w:h="16838" w:orient="portrait"/>
          <w:cols w:equalWidth="0" w:num="1">
            <w:col w:w="11342"/>
          </w:cols>
          <w:pgMar w:left="318" w:top="112"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61"/>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26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Corp &amp; Other</w:t>
            </w: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820" w:type="dxa"/>
            <w:vAlign w:val="bottom"/>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2026</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203,019</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164,949</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103,913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(9,514)</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462,367</w:t>
            </w:r>
          </w:p>
        </w:tc>
        <w:tc>
          <w:tcPr>
            <w:tcW w:w="0" w:type="dxa"/>
            <w:vAlign w:val="bottom"/>
          </w:tcPr>
          <w:p>
            <w:pPr>
              <w:spacing w:after="0"/>
              <w:rPr>
                <w:sz w:val="1"/>
                <w:szCs w:val="1"/>
                <w:color w:val="auto"/>
              </w:rPr>
            </w:pPr>
          </w:p>
        </w:tc>
      </w:tr>
      <w:tr>
        <w:trPr>
          <w:trHeight w:val="257"/>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162,392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112,881</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79,017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344,575</w:t>
            </w:r>
          </w:p>
        </w:tc>
        <w:tc>
          <w:tcPr>
            <w:tcW w:w="0" w:type="dxa"/>
            <w:vAlign w:val="bottom"/>
          </w:tcPr>
          <w:p>
            <w:pPr>
              <w:spacing w:after="0"/>
              <w:rPr>
                <w:sz w:val="1"/>
                <w:szCs w:val="1"/>
                <w:color w:val="auto"/>
              </w:rPr>
            </w:pPr>
          </w:p>
        </w:tc>
      </w:tr>
      <w:tr>
        <w:trPr>
          <w:trHeight w:val="225"/>
        </w:trPr>
        <w:tc>
          <w:tcPr>
            <w:tcW w:w="282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260" w:type="dxa"/>
            <w:vAlign w:val="bottom"/>
          </w:tcPr>
          <w:p>
            <w:pPr>
              <w:spacing w:after="0"/>
              <w:rPr>
                <w:sz w:val="19"/>
                <w:szCs w:val="19"/>
                <w:color w:val="auto"/>
              </w:rPr>
            </w:pPr>
          </w:p>
        </w:tc>
        <w:tc>
          <w:tcPr>
            <w:tcW w:w="13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40,627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52,068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24,896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117,792</w:t>
            </w:r>
          </w:p>
        </w:tc>
        <w:tc>
          <w:tcPr>
            <w:tcW w:w="0" w:type="dxa"/>
            <w:vAlign w:val="bottom"/>
          </w:tcPr>
          <w:p>
            <w:pPr>
              <w:spacing w:after="0"/>
              <w:rPr>
                <w:sz w:val="1"/>
                <w:szCs w:val="1"/>
                <w:color w:val="auto"/>
              </w:rPr>
            </w:pPr>
          </w:p>
        </w:tc>
      </w:tr>
      <w:tr>
        <w:trPr>
          <w:trHeight w:val="248"/>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25.5%</w:t>
            </w:r>
          </w:p>
        </w:tc>
        <w:tc>
          <w:tcPr>
            <w:tcW w:w="0" w:type="dxa"/>
            <w:vAlign w:val="bottom"/>
          </w:tcPr>
          <w:p>
            <w:pPr>
              <w:spacing w:after="0"/>
              <w:rPr>
                <w:sz w:val="1"/>
                <w:szCs w:val="1"/>
                <w:color w:val="auto"/>
              </w:rPr>
            </w:pPr>
          </w:p>
        </w:tc>
      </w:tr>
      <w:tr>
        <w:trPr>
          <w:trHeight w:val="221"/>
        </w:trPr>
        <w:tc>
          <w:tcPr>
            <w:tcW w:w="282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(1)</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35,763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21,664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74,432</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7,341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24,650</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(loss) income</w:t>
            </w:r>
          </w:p>
        </w:tc>
        <w:tc>
          <w:tcPr>
            <w:tcW w:w="26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23,063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18,710</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7,341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24,650</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EBITDA</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30,404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43,360</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(Cost of sales)</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(SG&amp;A)</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58"/>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Reorganization costs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478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554</w:t>
            </w:r>
          </w:p>
        </w:tc>
        <w:tc>
          <w:tcPr>
            <w:tcW w:w="0" w:type="dxa"/>
            <w:vAlign w:val="bottom"/>
          </w:tcPr>
          <w:p>
            <w:pPr>
              <w:spacing w:after="0"/>
              <w:rPr>
                <w:sz w:val="1"/>
                <w:szCs w:val="1"/>
                <w:color w:val="auto"/>
              </w:rPr>
            </w:pPr>
          </w:p>
        </w:tc>
      </w:tr>
      <w:tr>
        <w:trPr>
          <w:trHeight w:val="239"/>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Adjusted EBITDA</w:t>
            </w: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5,194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30,404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11,008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44,169</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9.6%</w:t>
            </w:r>
          </w:p>
        </w:tc>
        <w:tc>
          <w:tcPr>
            <w:tcW w:w="0" w:type="dxa"/>
            <w:vAlign w:val="bottom"/>
          </w:tcPr>
          <w:p>
            <w:pPr>
              <w:spacing w:after="0"/>
              <w:rPr>
                <w:sz w:val="1"/>
                <w:szCs w:val="1"/>
                <w:color w:val="auto"/>
              </w:rPr>
            </w:pPr>
          </w:p>
        </w:tc>
      </w:tr>
      <w:tr>
        <w:trPr>
          <w:trHeight w:val="437"/>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202,935</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163,967</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97,507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(11,931)</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452,478</w:t>
            </w:r>
          </w:p>
        </w:tc>
        <w:tc>
          <w:tcPr>
            <w:tcW w:w="0" w:type="dxa"/>
            <w:vAlign w:val="bottom"/>
          </w:tcPr>
          <w:p>
            <w:pPr>
              <w:spacing w:after="0"/>
              <w:rPr>
                <w:sz w:val="1"/>
                <w:szCs w:val="1"/>
                <w:color w:val="auto"/>
              </w:rPr>
            </w:pPr>
          </w:p>
        </w:tc>
      </w:tr>
      <w:tr>
        <w:trPr>
          <w:trHeight w:val="257"/>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145,533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111,637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73,702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(9,776)</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321,096</w:t>
            </w:r>
          </w:p>
        </w:tc>
        <w:tc>
          <w:tcPr>
            <w:tcW w:w="0" w:type="dxa"/>
            <w:vAlign w:val="bottom"/>
          </w:tcPr>
          <w:p>
            <w:pPr>
              <w:spacing w:after="0"/>
              <w:rPr>
                <w:sz w:val="1"/>
                <w:szCs w:val="1"/>
                <w:color w:val="auto"/>
              </w:rPr>
            </w:pPr>
          </w:p>
        </w:tc>
      </w:tr>
      <w:tr>
        <w:trPr>
          <w:trHeight w:val="225"/>
        </w:trPr>
        <w:tc>
          <w:tcPr>
            <w:tcW w:w="282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260" w:type="dxa"/>
            <w:vAlign w:val="bottom"/>
          </w:tcPr>
          <w:p>
            <w:pPr>
              <w:spacing w:after="0"/>
              <w:rPr>
                <w:sz w:val="19"/>
                <w:szCs w:val="19"/>
                <w:color w:val="auto"/>
              </w:rPr>
            </w:pPr>
          </w:p>
        </w:tc>
        <w:tc>
          <w:tcPr>
            <w:tcW w:w="13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57,402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52,330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23,805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(2,155)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131,382</w:t>
            </w:r>
          </w:p>
        </w:tc>
        <w:tc>
          <w:tcPr>
            <w:tcW w:w="0" w:type="dxa"/>
            <w:vAlign w:val="bottom"/>
          </w:tcPr>
          <w:p>
            <w:pPr>
              <w:spacing w:after="0"/>
              <w:rPr>
                <w:sz w:val="1"/>
                <w:szCs w:val="1"/>
                <w:color w:val="auto"/>
              </w:rPr>
            </w:pPr>
          </w:p>
        </w:tc>
      </w:tr>
      <w:tr>
        <w:trPr>
          <w:trHeight w:val="248"/>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29.0%</w:t>
            </w:r>
          </w:p>
        </w:tc>
        <w:tc>
          <w:tcPr>
            <w:tcW w:w="0" w:type="dxa"/>
            <w:vAlign w:val="bottom"/>
          </w:tcPr>
          <w:p>
            <w:pPr>
              <w:spacing w:after="0"/>
              <w:rPr>
                <w:sz w:val="1"/>
                <w:szCs w:val="1"/>
                <w:color w:val="auto"/>
              </w:rPr>
            </w:pPr>
          </w:p>
        </w:tc>
      </w:tr>
      <w:tr>
        <w:trPr>
          <w:trHeight w:val="221"/>
        </w:trPr>
        <w:tc>
          <w:tcPr>
            <w:tcW w:w="282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(1)</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32,259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21,673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10,850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70,333</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Restructuring charges</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57"/>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10,361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7,437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5,437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27"/>
        </w:trPr>
        <w:tc>
          <w:tcPr>
            <w:tcW w:w="28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Operating income (loss)</w:t>
            </w:r>
          </w:p>
        </w:tc>
        <w:tc>
          <w:tcPr>
            <w:tcW w:w="260" w:type="dxa"/>
            <w:vAlign w:val="bottom"/>
          </w:tcPr>
          <w:p>
            <w:pPr>
              <w:spacing w:after="0"/>
              <w:rPr>
                <w:sz w:val="19"/>
                <w:szCs w:val="19"/>
                <w:color w:val="auto"/>
              </w:rPr>
            </w:pPr>
          </w:p>
        </w:tc>
        <w:tc>
          <w:tcPr>
            <w:tcW w:w="13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13,886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23,220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7,518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(3,703)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40,921</w:t>
            </w:r>
          </w:p>
        </w:tc>
        <w:tc>
          <w:tcPr>
            <w:tcW w:w="0" w:type="dxa"/>
            <w:vAlign w:val="bottom"/>
          </w:tcPr>
          <w:p>
            <w:pPr>
              <w:spacing w:after="0"/>
              <w:rPr>
                <w:sz w:val="1"/>
                <w:szCs w:val="1"/>
                <w:color w:val="auto"/>
              </w:rPr>
            </w:pPr>
          </w:p>
        </w:tc>
      </w:tr>
      <w:tr>
        <w:trPr>
          <w:trHeight w:val="257"/>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10,361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7,437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5,437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27"/>
        </w:trPr>
        <w:tc>
          <w:tcPr>
            <w:tcW w:w="28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260" w:type="dxa"/>
            <w:vAlign w:val="bottom"/>
          </w:tcPr>
          <w:p>
            <w:pPr>
              <w:spacing w:after="0"/>
              <w:rPr>
                <w:sz w:val="19"/>
                <w:szCs w:val="19"/>
                <w:color w:val="auto"/>
              </w:rPr>
            </w:pPr>
          </w:p>
        </w:tc>
        <w:tc>
          <w:tcPr>
            <w:tcW w:w="13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24,247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30,657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12,955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(7,746)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60,113</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(Cost of sales)</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(SG&amp;A)</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246</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Transaction, advisory fees,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reorganization costs, and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product recall expenses</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864</w:t>
            </w:r>
          </w:p>
        </w:tc>
        <w:tc>
          <w:tcPr>
            <w:tcW w:w="0" w:type="dxa"/>
            <w:vAlign w:val="bottom"/>
          </w:tcPr>
          <w:p>
            <w:pPr>
              <w:spacing w:after="0"/>
              <w:rPr>
                <w:sz w:val="1"/>
                <w:szCs w:val="1"/>
                <w:color w:val="auto"/>
              </w:rPr>
            </w:pPr>
          </w:p>
        </w:tc>
      </w:tr>
      <w:tr>
        <w:trPr>
          <w:trHeight w:val="258"/>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Restructuring charges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896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40</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39"/>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Adjusted EBITDA</w:t>
            </w: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26,958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30,676</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12,955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63,135</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14.0%</w:t>
            </w:r>
          </w:p>
        </w:tc>
        <w:tc>
          <w:tcPr>
            <w:tcW w:w="0" w:type="dxa"/>
            <w:vAlign w:val="bottom"/>
          </w:tcPr>
          <w:p>
            <w:pPr>
              <w:spacing w:after="0"/>
              <w:rPr>
                <w:sz w:val="1"/>
                <w:szCs w:val="1"/>
                <w:color w:val="auto"/>
              </w:rPr>
            </w:pPr>
          </w:p>
        </w:tc>
      </w:tr>
      <w:tr>
        <w:trPr>
          <w:trHeight w:val="437"/>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Six months ended April 30,</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2026</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392,131</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304,749</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193,055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(18,479)</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871,456</w:t>
            </w:r>
          </w:p>
        </w:tc>
        <w:tc>
          <w:tcPr>
            <w:tcW w:w="0" w:type="dxa"/>
            <w:vAlign w:val="bottom"/>
          </w:tcPr>
          <w:p>
            <w:pPr>
              <w:spacing w:after="0"/>
              <w:rPr>
                <w:sz w:val="1"/>
                <w:szCs w:val="1"/>
                <w:color w:val="auto"/>
              </w:rPr>
            </w:pPr>
          </w:p>
        </w:tc>
      </w:tr>
      <w:tr>
        <w:trPr>
          <w:trHeight w:val="257"/>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313,116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210,590</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150,441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(19,010)</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655,137</w:t>
            </w:r>
          </w:p>
        </w:tc>
        <w:tc>
          <w:tcPr>
            <w:tcW w:w="0" w:type="dxa"/>
            <w:vAlign w:val="bottom"/>
          </w:tcPr>
          <w:p>
            <w:pPr>
              <w:spacing w:after="0"/>
              <w:rPr>
                <w:sz w:val="1"/>
                <w:szCs w:val="1"/>
                <w:color w:val="auto"/>
              </w:rPr>
            </w:pPr>
          </w:p>
        </w:tc>
      </w:tr>
      <w:tr>
        <w:trPr>
          <w:trHeight w:val="225"/>
        </w:trPr>
        <w:tc>
          <w:tcPr>
            <w:tcW w:w="282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260" w:type="dxa"/>
            <w:vAlign w:val="bottom"/>
          </w:tcPr>
          <w:p>
            <w:pPr>
              <w:spacing w:after="0"/>
              <w:rPr>
                <w:sz w:val="19"/>
                <w:szCs w:val="19"/>
                <w:color w:val="auto"/>
              </w:rPr>
            </w:pPr>
          </w:p>
        </w:tc>
        <w:tc>
          <w:tcPr>
            <w:tcW w:w="13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79,015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94,159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42,614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531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216,319</w:t>
            </w:r>
          </w:p>
        </w:tc>
        <w:tc>
          <w:tcPr>
            <w:tcW w:w="0" w:type="dxa"/>
            <w:vAlign w:val="bottom"/>
          </w:tcPr>
          <w:p>
            <w:pPr>
              <w:spacing w:after="0"/>
              <w:rPr>
                <w:sz w:val="1"/>
                <w:szCs w:val="1"/>
                <w:color w:val="auto"/>
              </w:rPr>
            </w:pPr>
          </w:p>
        </w:tc>
      </w:tr>
      <w:tr>
        <w:trPr>
          <w:trHeight w:val="248"/>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24.8%</w:t>
            </w:r>
          </w:p>
        </w:tc>
        <w:tc>
          <w:tcPr>
            <w:tcW w:w="0" w:type="dxa"/>
            <w:vAlign w:val="bottom"/>
          </w:tcPr>
          <w:p>
            <w:pPr>
              <w:spacing w:after="0"/>
              <w:rPr>
                <w:sz w:val="1"/>
                <w:szCs w:val="1"/>
                <w:color w:val="auto"/>
              </w:rPr>
            </w:pPr>
          </w:p>
        </w:tc>
      </w:tr>
      <w:tr>
        <w:trPr>
          <w:trHeight w:val="221"/>
        </w:trPr>
        <w:tc>
          <w:tcPr>
            <w:tcW w:w="282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(1)</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69,943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42,805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27,039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145,858</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23,240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14,680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10,626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48,899</w:t>
            </w:r>
          </w:p>
        </w:tc>
        <w:tc>
          <w:tcPr>
            <w:tcW w:w="0" w:type="dxa"/>
            <w:vAlign w:val="bottom"/>
          </w:tcPr>
          <w:p>
            <w:pPr>
              <w:spacing w:after="0"/>
              <w:rPr>
                <w:sz w:val="1"/>
                <w:szCs w:val="1"/>
                <w:color w:val="auto"/>
              </w:rPr>
            </w:pPr>
          </w:p>
        </w:tc>
      </w:tr>
      <w:tr>
        <w:trPr>
          <w:trHeight w:val="246"/>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(loss) income</w:t>
            </w:r>
          </w:p>
        </w:tc>
        <w:tc>
          <w:tcPr>
            <w:tcW w:w="26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(14,168)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36,674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4,949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21,562</w:t>
            </w:r>
          </w:p>
        </w:tc>
        <w:tc>
          <w:tcPr>
            <w:tcW w:w="0" w:type="dxa"/>
            <w:vAlign w:val="bottom"/>
          </w:tcPr>
          <w:p>
            <w:pPr>
              <w:spacing w:after="0"/>
              <w:rPr>
                <w:sz w:val="1"/>
                <w:szCs w:val="1"/>
                <w:color w:val="auto"/>
              </w:rPr>
            </w:pPr>
          </w:p>
        </w:tc>
      </w:tr>
      <w:tr>
        <w:trPr>
          <w:trHeight w:val="257"/>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23,240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14,680</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10,626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353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48,899</w:t>
            </w:r>
          </w:p>
        </w:tc>
        <w:tc>
          <w:tcPr>
            <w:tcW w:w="0" w:type="dxa"/>
            <w:vAlign w:val="bottom"/>
          </w:tcPr>
          <w:p>
            <w:pPr>
              <w:spacing w:after="0"/>
              <w:rPr>
                <w:sz w:val="1"/>
                <w:szCs w:val="1"/>
                <w:color w:val="auto"/>
              </w:rPr>
            </w:pPr>
          </w:p>
        </w:tc>
      </w:tr>
      <w:tr>
        <w:trPr>
          <w:trHeight w:val="227"/>
        </w:trPr>
        <w:tc>
          <w:tcPr>
            <w:tcW w:w="282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260" w:type="dxa"/>
            <w:vAlign w:val="bottom"/>
          </w:tcPr>
          <w:p>
            <w:pPr>
              <w:spacing w:after="0"/>
              <w:rPr>
                <w:sz w:val="19"/>
                <w:szCs w:val="19"/>
                <w:color w:val="auto"/>
              </w:rPr>
            </w:pPr>
          </w:p>
        </w:tc>
        <w:tc>
          <w:tcPr>
            <w:tcW w:w="13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9,072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51,354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15,575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(5,540)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70,461</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(Cost of sales)</w:t>
            </w: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528</w:t>
            </w:r>
          </w:p>
        </w:tc>
        <w:tc>
          <w:tcPr>
            <w:tcW w:w="0" w:type="dxa"/>
            <w:vAlign w:val="bottom"/>
          </w:tcPr>
          <w:p>
            <w:pPr>
              <w:spacing w:after="0"/>
              <w:rPr>
                <w:sz w:val="1"/>
                <w:szCs w:val="1"/>
                <w:color w:val="auto"/>
              </w:rPr>
            </w:pPr>
          </w:p>
        </w:tc>
      </w:tr>
      <w:tr>
        <w:trPr>
          <w:trHeight w:val="221"/>
        </w:trPr>
        <w:tc>
          <w:tcPr>
            <w:tcW w:w="282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Credit related to plant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(SG&amp;A)</w:t>
            </w:r>
          </w:p>
        </w:tc>
        <w:tc>
          <w:tcPr>
            <w:tcW w:w="260" w:type="dxa"/>
            <w:vAlign w:val="bottom"/>
          </w:tcPr>
          <w:p>
            <w:pPr>
              <w:spacing w:after="0"/>
              <w:rPr>
                <w:sz w:val="21"/>
                <w:szCs w:val="21"/>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8"/>
        </w:trPr>
        <w:tc>
          <w:tcPr>
            <w:tcW w:w="28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Reorganization costs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146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423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570</w:t>
            </w:r>
          </w:p>
        </w:tc>
        <w:tc>
          <w:tcPr>
            <w:tcW w:w="0" w:type="dxa"/>
            <w:vAlign w:val="bottom"/>
          </w:tcPr>
          <w:p>
            <w:pPr>
              <w:spacing w:after="0"/>
              <w:rPr>
                <w:sz w:val="1"/>
                <w:szCs w:val="1"/>
                <w:color w:val="auto"/>
              </w:rPr>
            </w:pPr>
          </w:p>
        </w:tc>
      </w:tr>
      <w:tr>
        <w:trPr>
          <w:trHeight w:val="239"/>
        </w:trPr>
        <w:tc>
          <w:tcPr>
            <w:tcW w:w="2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Adjusted EBITDA</w:t>
            </w: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9,738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51,354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15,576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71,551</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2.5%</w:t>
            </w:r>
          </w:p>
        </w:tc>
        <w:tc>
          <w:tcPr>
            <w:tcW w:w="1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16.9%</w:t>
            </w:r>
          </w:p>
        </w:tc>
        <w:tc>
          <w:tcPr>
            <w:tcW w:w="1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8.1%</w:t>
            </w:r>
          </w:p>
        </w:tc>
        <w:tc>
          <w:tcPr>
            <w:tcW w:w="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8.2%</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Six months ended April 30,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w:t>
      </w:r>
    </w:p>
    <w:p>
      <w:pPr>
        <w:sectPr>
          <w:pgSz w:w="11900" w:h="16838" w:orient="portrait"/>
          <w:cols w:equalWidth="0" w:num="1">
            <w:col w:w="11220"/>
          </w:cols>
          <w:pgMar w:left="340" w:top="112" w:right="339" w:bottom="0" w:gutter="0" w:footer="0" w:header="0"/>
        </w:sectPr>
      </w:pPr>
    </w:p>
    <w:bookmarkStart w:id="10" w:name="page11"/>
    <w:bookmarkEnd w:id="10"/>
    <w:tbl>
      <w:tblPr>
        <w:tblLayout w:type="fixed"/>
        <w:tblInd w:w="182" w:type="dxa"/>
        <w:tblCellMar>
          <w:top w:w="0" w:type="dxa"/>
          <w:left w:w="0" w:type="dxa"/>
          <w:bottom w:w="0" w:type="dxa"/>
          <w:right w:w="0" w:type="dxa"/>
        </w:tblCellMar>
      </w:tblPr>
      <w:tr>
        <w:trPr>
          <w:trHeight w:val="245"/>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387,675</w:t>
            </w:r>
          </w:p>
        </w:tc>
        <w:tc>
          <w:tcPr>
            <w:tcW w:w="100" w:type="dxa"/>
            <w:vAlign w:val="bottom"/>
          </w:tcPr>
          <w:p>
            <w:pPr>
              <w:spacing w:after="0"/>
              <w:rPr>
                <w:sz w:val="21"/>
                <w:szCs w:val="21"/>
                <w:color w:val="auto"/>
              </w:rPr>
            </w:pPr>
          </w:p>
        </w:tc>
        <w:tc>
          <w:tcPr>
            <w:tcW w:w="46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303,597</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182,545</w:t>
            </w:r>
          </w:p>
        </w:tc>
        <w:tc>
          <w:tcPr>
            <w:tcW w:w="120" w:type="dxa"/>
            <w:vAlign w:val="bottom"/>
          </w:tcPr>
          <w:p>
            <w:pPr>
              <w:spacing w:after="0"/>
              <w:rPr>
                <w:sz w:val="21"/>
                <w:szCs w:val="21"/>
                <w:color w:val="auto"/>
              </w:rPr>
            </w:pPr>
          </w:p>
        </w:tc>
        <w:tc>
          <w:tcPr>
            <w:tcW w:w="480" w:type="dxa"/>
            <w:vAlign w:val="bottom"/>
          </w:tcPr>
          <w:p>
            <w:pPr>
              <w:jc w:val="right"/>
              <w:ind w:right="282"/>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(21,295)</w:t>
            </w:r>
          </w:p>
        </w:tc>
        <w:tc>
          <w:tcPr>
            <w:tcW w:w="1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852,522</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296,318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209,317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142,000</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(18,811)</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628,824</w:t>
            </w:r>
          </w:p>
        </w:tc>
        <w:tc>
          <w:tcPr>
            <w:tcW w:w="0" w:type="dxa"/>
            <w:vAlign w:val="bottom"/>
          </w:tcPr>
          <w:p>
            <w:pPr>
              <w:spacing w:after="0"/>
              <w:rPr>
                <w:sz w:val="1"/>
                <w:szCs w:val="1"/>
                <w:color w:val="auto"/>
              </w:rPr>
            </w:pPr>
          </w:p>
        </w:tc>
      </w:tr>
      <w:tr>
        <w:trPr>
          <w:trHeight w:val="225"/>
        </w:trPr>
        <w:tc>
          <w:tcPr>
            <w:tcW w:w="2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91,357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94,280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40,545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(2,484)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223,698</w:t>
            </w:r>
          </w:p>
        </w:tc>
        <w:tc>
          <w:tcPr>
            <w:tcW w:w="0" w:type="dxa"/>
            <w:vAlign w:val="bottom"/>
          </w:tcPr>
          <w:p>
            <w:pPr>
              <w:spacing w:after="0"/>
              <w:rPr>
                <w:sz w:val="1"/>
                <w:szCs w:val="1"/>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26.2%</w:t>
            </w:r>
          </w:p>
        </w:tc>
        <w:tc>
          <w:tcPr>
            <w:tcW w:w="0" w:type="dxa"/>
            <w:vAlign w:val="bottom"/>
          </w:tcPr>
          <w:p>
            <w:pPr>
              <w:spacing w:after="0"/>
              <w:rPr>
                <w:sz w:val="1"/>
                <w:szCs w:val="1"/>
                <w:color w:val="auto"/>
              </w:rPr>
            </w:pPr>
          </w:p>
        </w:tc>
      </w:tr>
      <w:tr>
        <w:trPr>
          <w:trHeight w:val="221"/>
        </w:trPr>
        <w:tc>
          <w:tcPr>
            <w:tcW w:w="26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(1)</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65,616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40,181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22,448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136,983</w:t>
            </w: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charges</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7,015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15,077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10,977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 income</w:t>
            </w:r>
          </w:p>
        </w:tc>
        <w:tc>
          <w:tcPr>
            <w:tcW w:w="440" w:type="dxa"/>
            <w:vAlign w:val="bottom"/>
          </w:tcPr>
          <w:p>
            <w:pPr>
              <w:spacing w:after="0"/>
              <w:rPr>
                <w:sz w:val="21"/>
                <w:szCs w:val="21"/>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(3,105)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39,022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7,120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33,943</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21,831</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15,077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10,977</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27"/>
        </w:trPr>
        <w:tc>
          <w:tcPr>
            <w:tcW w:w="26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18,726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54,099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18,097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(13,047)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77,875</w:t>
            </w: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closure (Cost of sales)</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Gain related to plant closure</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(SG&amp;A)</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247</w:t>
            </w: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Amortization of step-up for</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purchase price adjustments</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6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on inventory and accounts</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receivable</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7,509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9,007</w:t>
            </w:r>
          </w:p>
        </w:tc>
        <w:tc>
          <w:tcPr>
            <w:tcW w:w="0" w:type="dxa"/>
            <w:vAlign w:val="bottom"/>
          </w:tcPr>
          <w:p>
            <w:pPr>
              <w:spacing w:after="0"/>
              <w:rPr>
                <w:sz w:val="1"/>
                <w:szCs w:val="1"/>
                <w:color w:val="auto"/>
              </w:rPr>
            </w:pPr>
          </w:p>
        </w:tc>
      </w:tr>
      <w:tr>
        <w:trPr>
          <w:trHeight w:val="246"/>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 and advisory fees</w:t>
            </w: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4,732</w:t>
            </w:r>
          </w:p>
        </w:tc>
        <w:tc>
          <w:tcPr>
            <w:tcW w:w="0" w:type="dxa"/>
            <w:vAlign w:val="bottom"/>
          </w:tcPr>
          <w:p>
            <w:pPr>
              <w:spacing w:after="0"/>
              <w:rPr>
                <w:sz w:val="1"/>
                <w:szCs w:val="1"/>
                <w:color w:val="auto"/>
              </w:rPr>
            </w:pPr>
          </w:p>
        </w:tc>
      </w:tr>
      <w:tr>
        <w:trPr>
          <w:trHeight w:val="258"/>
        </w:trPr>
        <w:tc>
          <w:tcPr>
            <w:tcW w:w="2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Restructuring charges</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1,825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35,156</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54,627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19,243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(7,349)</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101,677</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6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9.1%</w:t>
            </w:r>
          </w:p>
        </w:tc>
        <w:tc>
          <w:tcPr>
            <w:tcW w:w="1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18.0%</w:t>
            </w:r>
          </w:p>
        </w:tc>
        <w:tc>
          <w:tcPr>
            <w:tcW w:w="1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10.5%</w:t>
            </w:r>
          </w:p>
        </w:tc>
        <w:tc>
          <w:tcPr>
            <w:tcW w:w="1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 w:right="520" w:hanging="2"/>
        <w:spacing w:after="0" w:line="259" w:lineRule="auto"/>
        <w:tabs>
          <w:tab w:leader="none" w:pos="2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stock-based compensation expense for the three and six months ended April 30, 2026, respectively of $1.5 million and $4.6 million and $0.6 million and $1.8 million for the comparable prior year periods.</w:t>
      </w:r>
    </w:p>
    <w:p>
      <w:pPr>
        <w:spacing w:after="0" w:line="3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SELECTED SEGMENT DATA RECONCILIATION</w:t>
      </w:r>
    </w:p>
    <w:p>
      <w:pPr>
        <w:jc w:val="center"/>
        <w:ind w:right="-1"/>
        <w:spacing w:after="0" w:line="230" w:lineRule="auto"/>
        <w:rPr>
          <w:sz w:val="20"/>
          <w:szCs w:val="20"/>
          <w:color w:val="auto"/>
        </w:rPr>
      </w:pPr>
      <w:r>
        <w:rPr>
          <w:rFonts w:ascii="Times New Roman" w:cs="Times New Roman" w:eastAsia="Times New Roman" w:hAnsi="Times New Roman"/>
          <w:sz w:val="20"/>
          <w:szCs w:val="20"/>
          <w:color w:val="auto"/>
        </w:rPr>
        <w:t>(In thousands)</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24" w:lineRule="exact"/>
        <w:rPr>
          <w:sz w:val="20"/>
          <w:szCs w:val="20"/>
          <w:color w:val="auto"/>
        </w:rPr>
      </w:pPr>
    </w:p>
    <w:p>
      <w:pPr>
        <w:ind w:left="2" w:right="140"/>
        <w:spacing w:after="0" w:line="259" w:lineRule="auto"/>
        <w:rPr>
          <w:sz w:val="20"/>
          <w:szCs w:val="20"/>
          <w:color w:val="auto"/>
        </w:rPr>
      </w:pPr>
      <w:r>
        <w:rPr>
          <w:rFonts w:ascii="Times New Roman" w:cs="Times New Roman" w:eastAsia="Times New Roman" w:hAnsi="Times New Roman"/>
          <w:sz w:val="20"/>
          <w:szCs w:val="20"/>
          <w:color w:val="auto"/>
        </w:rPr>
        <w:t>This table reconciles our segment presentation, as previously reported in Exhibit 99.1 to our Current Report Form 8-K dated June 5, 2025 for the three and six months ended April 30, 2025, to the current presentation.</w:t>
      </w:r>
    </w:p>
    <w:p>
      <w:pPr>
        <w:spacing w:after="0" w:line="394" w:lineRule="exact"/>
        <w:rPr>
          <w:sz w:val="20"/>
          <w:szCs w:val="20"/>
          <w:color w:val="auto"/>
        </w:rPr>
      </w:pPr>
    </w:p>
    <w:tbl>
      <w:tblPr>
        <w:tblLayout w:type="fixed"/>
        <w:tblInd w:w="22"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6"/>
              </w:rPr>
              <w:t>NA</w:t>
            </w:r>
          </w:p>
        </w:tc>
        <w:tc>
          <w:tcPr>
            <w:tcW w:w="10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rPr>
              <w:t>EU</w:t>
            </w:r>
          </w:p>
        </w:tc>
        <w:tc>
          <w:tcPr>
            <w:tcW w:w="10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8"/>
              </w:rPr>
              <w:t>NA Cabinet</w:t>
            </w:r>
          </w:p>
        </w:tc>
        <w:tc>
          <w:tcPr>
            <w:tcW w:w="1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7"/>
              </w:rPr>
              <w:t>Unallocated</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ind w:left="120"/>
              <w:spacing w:after="0" w:line="221" w:lineRule="exact"/>
              <w:rPr>
                <w:sz w:val="20"/>
                <w:szCs w:val="20"/>
                <w:color w:val="auto"/>
              </w:rPr>
            </w:pPr>
            <w:r>
              <w:rPr>
                <w:rFonts w:ascii="Times New Roman" w:cs="Times New Roman" w:eastAsia="Times New Roman" w:hAnsi="Times New Roman"/>
                <w:sz w:val="20"/>
                <w:szCs w:val="20"/>
                <w:b w:val="1"/>
                <w:bCs w:val="1"/>
                <w:color w:val="auto"/>
              </w:rPr>
              <w:t>Tyman</w:t>
            </w:r>
          </w:p>
        </w:tc>
        <w:tc>
          <w:tcPr>
            <w:tcW w:w="180" w:type="dxa"/>
            <w:vAlign w:val="bottom"/>
          </w:tcPr>
          <w:p>
            <w:pPr>
              <w:spacing w:after="0"/>
              <w:rPr>
                <w:sz w:val="9"/>
                <w:szCs w:val="9"/>
                <w:color w:val="auto"/>
              </w:rPr>
            </w:pPr>
          </w:p>
        </w:tc>
        <w:tc>
          <w:tcPr>
            <w:tcW w:w="1120" w:type="dxa"/>
            <w:vAlign w:val="bottom"/>
            <w:gridSpan w:val="2"/>
            <w:vMerge w:val="restart"/>
          </w:tcPr>
          <w:p>
            <w:pPr>
              <w:jc w:val="center"/>
              <w:ind w:right="300"/>
              <w:spacing w:after="0" w:line="221" w:lineRule="exact"/>
              <w:rPr>
                <w:sz w:val="20"/>
                <w:szCs w:val="20"/>
                <w:color w:val="auto"/>
              </w:rPr>
            </w:pPr>
            <w:r>
              <w:rPr>
                <w:rFonts w:ascii="Times New Roman" w:cs="Times New Roman" w:eastAsia="Times New Roman" w:hAnsi="Times New Roman"/>
                <w:sz w:val="20"/>
                <w:szCs w:val="20"/>
                <w:b w:val="1"/>
                <w:bCs w:val="1"/>
                <w:color w:val="auto"/>
                <w:w w:val="99"/>
              </w:rPr>
              <w:t>Corp &amp;</w:t>
            </w:r>
          </w:p>
        </w:tc>
        <w:tc>
          <w:tcPr>
            <w:tcW w:w="260" w:type="dxa"/>
            <w:vAlign w:val="bottom"/>
          </w:tcPr>
          <w:p>
            <w:pPr>
              <w:spacing w:after="0"/>
              <w:rPr>
                <w:sz w:val="9"/>
                <w:szCs w:val="9"/>
                <w:color w:val="auto"/>
              </w:rPr>
            </w:pPr>
          </w:p>
        </w:tc>
        <w:tc>
          <w:tcPr>
            <w:tcW w:w="980" w:type="dxa"/>
            <w:vAlign w:val="bottom"/>
            <w:vMerge w:val="restart"/>
          </w:tcPr>
          <w:p>
            <w:pPr>
              <w:jc w:val="right"/>
              <w:ind w:right="302"/>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Fenestration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Fenestration</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Components</w:t>
            </w:r>
          </w:p>
        </w:tc>
        <w:tc>
          <w:tcPr>
            <w:tcW w:w="2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151,026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61,257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51,237</w:t>
            </w:r>
          </w:p>
        </w:tc>
        <w:tc>
          <w:tcPr>
            <w:tcW w:w="12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190,107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452,478</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113,760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39,001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42,405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126,743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321,096</w:t>
            </w:r>
          </w:p>
        </w:tc>
        <w:tc>
          <w:tcPr>
            <w:tcW w:w="0" w:type="dxa"/>
            <w:vAlign w:val="bottom"/>
          </w:tcPr>
          <w:p>
            <w:pPr>
              <w:spacing w:after="0"/>
              <w:rPr>
                <w:sz w:val="1"/>
                <w:szCs w:val="1"/>
                <w:color w:val="auto"/>
              </w:rPr>
            </w:pPr>
          </w:p>
        </w:tc>
      </w:tr>
      <w:tr>
        <w:trPr>
          <w:trHeight w:val="225"/>
        </w:trPr>
        <w:tc>
          <w:tcPr>
            <w:tcW w:w="318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37,266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22,256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8,832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63,364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131,382</w:t>
            </w:r>
          </w:p>
        </w:tc>
        <w:tc>
          <w:tcPr>
            <w:tcW w:w="0" w:type="dxa"/>
            <w:vAlign w:val="bottom"/>
          </w:tcPr>
          <w:p>
            <w:pPr>
              <w:spacing w:after="0"/>
              <w:rPr>
                <w:sz w:val="1"/>
                <w:szCs w:val="1"/>
                <w:color w:val="auto"/>
              </w:rPr>
            </w:pPr>
          </w:p>
        </w:tc>
      </w:tr>
      <w:tr>
        <w:trPr>
          <w:trHeight w:val="248"/>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29.0%</w:t>
            </w:r>
          </w:p>
        </w:tc>
        <w:tc>
          <w:tcPr>
            <w:tcW w:w="0" w:type="dxa"/>
            <w:vAlign w:val="bottom"/>
          </w:tcPr>
          <w:p>
            <w:pPr>
              <w:spacing w:after="0"/>
              <w:rPr>
                <w:sz w:val="1"/>
                <w:szCs w:val="1"/>
                <w:color w:val="auto"/>
              </w:rPr>
            </w:pPr>
          </w:p>
        </w:tc>
      </w:tr>
      <w:tr>
        <w:trPr>
          <w:trHeight w:val="221"/>
        </w:trPr>
        <w:tc>
          <w:tcPr>
            <w:tcW w:w="318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15,938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5,725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37,271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70,333</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Restructuring charges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income (loss)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16,661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10,559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16,382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40,921</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4,667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2,659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8,775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27"/>
        </w:trPr>
        <w:tc>
          <w:tcPr>
            <w:tcW w:w="318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21,328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13,218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3,107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25,157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60,113</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(Cost of sales)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(SG&amp;A)</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246</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Transaction, advisory fees,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and reorganization costs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864</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Restructuring charges related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to severance and disposal of</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software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39"/>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22,550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13,218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3,107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26,768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63,135</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14.0%</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vMerge w:val="restart"/>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2"/>
              <w:spacing w:after="0" w:line="197" w:lineRule="exact"/>
              <w:rPr>
                <w:sz w:val="20"/>
                <w:szCs w:val="20"/>
                <w:color w:val="auto"/>
              </w:rPr>
            </w:pPr>
            <w:r>
              <w:rPr>
                <w:rFonts w:ascii="Times New Roman" w:cs="Times New Roman" w:eastAsia="Times New Roman" w:hAnsi="Times New Roman"/>
                <w:sz w:val="20"/>
                <w:szCs w:val="20"/>
                <w:b w:val="1"/>
                <w:bCs w:val="1"/>
                <w:color w:val="auto"/>
                <w:w w:val="97"/>
              </w:rPr>
              <w:t>Hardware</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22"/>
              <w:spacing w:after="0" w:line="197" w:lineRule="exact"/>
              <w:rPr>
                <w:sz w:val="20"/>
                <w:szCs w:val="20"/>
                <w:color w:val="auto"/>
              </w:rPr>
            </w:pPr>
            <w:r>
              <w:rPr>
                <w:rFonts w:ascii="Times New Roman" w:cs="Times New Roman" w:eastAsia="Times New Roman" w:hAnsi="Times New Roman"/>
                <w:sz w:val="20"/>
                <w:szCs w:val="20"/>
                <w:b w:val="1"/>
                <w:bCs w:val="1"/>
                <w:color w:val="auto"/>
                <w:w w:val="98"/>
              </w:rPr>
              <w:t>Extruded</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22"/>
              <w:spacing w:after="0" w:line="197" w:lineRule="exact"/>
              <w:rPr>
                <w:sz w:val="20"/>
                <w:szCs w:val="20"/>
                <w:color w:val="auto"/>
              </w:rPr>
            </w:pPr>
            <w:r>
              <w:rPr>
                <w:rFonts w:ascii="Times New Roman" w:cs="Times New Roman" w:eastAsia="Times New Roman" w:hAnsi="Times New Roman"/>
                <w:sz w:val="20"/>
                <w:szCs w:val="20"/>
                <w:b w:val="1"/>
                <w:bCs w:val="1"/>
                <w:color w:val="auto"/>
                <w:w w:val="95"/>
              </w:rPr>
              <w:t>Custom</w:t>
            </w: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ind w:left="120"/>
              <w:spacing w:after="0" w:line="197" w:lineRule="exact"/>
              <w:rPr>
                <w:sz w:val="20"/>
                <w:szCs w:val="20"/>
                <w:color w:val="auto"/>
              </w:rPr>
            </w:pPr>
            <w:r>
              <w:rPr>
                <w:rFonts w:ascii="Times New Roman" w:cs="Times New Roman" w:eastAsia="Times New Roman" w:hAnsi="Times New Roman"/>
                <w:sz w:val="20"/>
                <w:szCs w:val="20"/>
                <w:b w:val="1"/>
                <w:bCs w:val="1"/>
                <w:color w:val="auto"/>
              </w:rPr>
              <w:t>Tyman</w:t>
            </w:r>
          </w:p>
        </w:tc>
        <w:tc>
          <w:tcPr>
            <w:tcW w:w="120" w:type="dxa"/>
            <w:vAlign w:val="bottom"/>
            <w:vMerge w:val="continue"/>
          </w:tcPr>
          <w:p>
            <w:pPr>
              <w:spacing w:after="0"/>
              <w:rPr>
                <w:sz w:val="17"/>
                <w:szCs w:val="17"/>
                <w:color w:val="auto"/>
              </w:rPr>
            </w:pPr>
          </w:p>
        </w:tc>
        <w:tc>
          <w:tcPr>
            <w:tcW w:w="120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7"/>
              </w:rPr>
              <w:t>Unallocated</w:t>
            </w: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2"/>
              <w:spacing w:after="0" w:line="197"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1"/>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Solutions(1)</w:t>
            </w:r>
          </w:p>
        </w:tc>
        <w:tc>
          <w:tcPr>
            <w:tcW w:w="12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Solutions(2)</w:t>
            </w:r>
          </w:p>
        </w:tc>
        <w:tc>
          <w:tcPr>
            <w:tcW w:w="120" w:type="dxa"/>
            <w:vAlign w:val="bottom"/>
          </w:tcPr>
          <w:p>
            <w:pPr>
              <w:spacing w:after="0"/>
              <w:rPr>
                <w:sz w:val="22"/>
                <w:szCs w:val="22"/>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Solutions(3)</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Corp &amp;</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116"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202,935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163,967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97,507</w:t>
            </w:r>
          </w:p>
        </w:tc>
        <w:tc>
          <w:tcPr>
            <w:tcW w:w="12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(11,931)</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452,478</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145,533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111,637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73,702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321,096</w:t>
            </w:r>
          </w:p>
        </w:tc>
        <w:tc>
          <w:tcPr>
            <w:tcW w:w="0" w:type="dxa"/>
            <w:vAlign w:val="bottom"/>
          </w:tcPr>
          <w:p>
            <w:pPr>
              <w:spacing w:after="0"/>
              <w:rPr>
                <w:sz w:val="1"/>
                <w:szCs w:val="1"/>
                <w:color w:val="auto"/>
              </w:rPr>
            </w:pPr>
          </w:p>
        </w:tc>
      </w:tr>
      <w:tr>
        <w:trPr>
          <w:trHeight w:val="225"/>
        </w:trPr>
        <w:tc>
          <w:tcPr>
            <w:tcW w:w="318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57,402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52,330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23,805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131,382</w:t>
            </w:r>
          </w:p>
        </w:tc>
        <w:tc>
          <w:tcPr>
            <w:tcW w:w="0" w:type="dxa"/>
            <w:vAlign w:val="bottom"/>
          </w:tcPr>
          <w:p>
            <w:pPr>
              <w:spacing w:after="0"/>
              <w:rPr>
                <w:sz w:val="1"/>
                <w:szCs w:val="1"/>
                <w:color w:val="auto"/>
              </w:rPr>
            </w:pPr>
          </w:p>
        </w:tc>
      </w:tr>
      <w:tr>
        <w:trPr>
          <w:trHeight w:val="248"/>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29.0%</w:t>
            </w:r>
          </w:p>
        </w:tc>
        <w:tc>
          <w:tcPr>
            <w:tcW w:w="0" w:type="dxa"/>
            <w:vAlign w:val="bottom"/>
          </w:tcPr>
          <w:p>
            <w:pPr>
              <w:spacing w:after="0"/>
              <w:rPr>
                <w:sz w:val="1"/>
                <w:szCs w:val="1"/>
                <w:color w:val="auto"/>
              </w:rPr>
            </w:pPr>
          </w:p>
        </w:tc>
      </w:tr>
      <w:tr>
        <w:trPr>
          <w:trHeight w:val="221"/>
        </w:trPr>
        <w:tc>
          <w:tcPr>
            <w:tcW w:w="318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32,259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21,673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70,333</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Restructuring charges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896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10,361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7,437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5,437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27"/>
        </w:trPr>
        <w:tc>
          <w:tcPr>
            <w:tcW w:w="318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Operating (loss) income</w:t>
            </w: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13,886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23,220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40,921</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10,361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7,437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5,437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27"/>
        </w:trPr>
        <w:tc>
          <w:tcPr>
            <w:tcW w:w="318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24,247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30,657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12,955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60,113</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(Cost of sales)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(SG&amp;A)</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246</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Transaction, advisory fees,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and reorganization costs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864</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Restructuring charges related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to severance and disposal of</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software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896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936</w:t>
            </w:r>
          </w:p>
        </w:tc>
        <w:tc>
          <w:tcPr>
            <w:tcW w:w="0" w:type="dxa"/>
            <w:vAlign w:val="bottom"/>
          </w:tcPr>
          <w:p>
            <w:pPr>
              <w:spacing w:after="0"/>
              <w:rPr>
                <w:sz w:val="1"/>
                <w:szCs w:val="1"/>
                <w:color w:val="auto"/>
              </w:rPr>
            </w:pPr>
          </w:p>
        </w:tc>
      </w:tr>
      <w:tr>
        <w:trPr>
          <w:trHeight w:val="239"/>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26,958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30,676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12,955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63,135</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14.0%</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6"/>
              </w:rPr>
              <w:t>NA</w:t>
            </w:r>
          </w:p>
        </w:tc>
        <w:tc>
          <w:tcPr>
            <w:tcW w:w="120" w:type="dxa"/>
            <w:vAlign w:val="bottom"/>
          </w:tcPr>
          <w:p>
            <w:pPr>
              <w:spacing w:after="0"/>
              <w:rPr>
                <w:sz w:val="17"/>
                <w:szCs w:val="17"/>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EU</w:t>
            </w:r>
          </w:p>
        </w:tc>
        <w:tc>
          <w:tcPr>
            <w:tcW w:w="120" w:type="dxa"/>
            <w:vAlign w:val="bottom"/>
          </w:tcPr>
          <w:p>
            <w:pPr>
              <w:spacing w:after="0"/>
              <w:rPr>
                <w:sz w:val="17"/>
                <w:szCs w:val="1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NA Cabinet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7"/>
              </w:rPr>
              <w:t>Unallocated</w:t>
            </w: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ind w:left="120"/>
              <w:spacing w:after="0" w:line="221" w:lineRule="exact"/>
              <w:rPr>
                <w:sz w:val="20"/>
                <w:szCs w:val="20"/>
                <w:color w:val="auto"/>
              </w:rPr>
            </w:pPr>
            <w:r>
              <w:rPr>
                <w:rFonts w:ascii="Times New Roman" w:cs="Times New Roman" w:eastAsia="Times New Roman" w:hAnsi="Times New Roman"/>
                <w:sz w:val="20"/>
                <w:szCs w:val="20"/>
                <w:b w:val="1"/>
                <w:bCs w:val="1"/>
                <w:color w:val="auto"/>
              </w:rPr>
              <w:t>Tyman</w:t>
            </w:r>
          </w:p>
        </w:tc>
        <w:tc>
          <w:tcPr>
            <w:tcW w:w="180" w:type="dxa"/>
            <w:vAlign w:val="bottom"/>
          </w:tcPr>
          <w:p>
            <w:pPr>
              <w:spacing w:after="0"/>
              <w:rPr>
                <w:sz w:val="9"/>
                <w:szCs w:val="9"/>
                <w:color w:val="auto"/>
              </w:rPr>
            </w:pPr>
          </w:p>
        </w:tc>
        <w:tc>
          <w:tcPr>
            <w:tcW w:w="1120" w:type="dxa"/>
            <w:vAlign w:val="bottom"/>
            <w:gridSpan w:val="2"/>
            <w:vMerge w:val="restart"/>
          </w:tcPr>
          <w:p>
            <w:pPr>
              <w:jc w:val="center"/>
              <w:ind w:right="300"/>
              <w:spacing w:after="0" w:line="221" w:lineRule="exact"/>
              <w:rPr>
                <w:sz w:val="20"/>
                <w:szCs w:val="20"/>
                <w:color w:val="auto"/>
              </w:rPr>
            </w:pPr>
            <w:r>
              <w:rPr>
                <w:rFonts w:ascii="Times New Roman" w:cs="Times New Roman" w:eastAsia="Times New Roman" w:hAnsi="Times New Roman"/>
                <w:sz w:val="20"/>
                <w:szCs w:val="20"/>
                <w:b w:val="1"/>
                <w:bCs w:val="1"/>
                <w:color w:val="auto"/>
                <w:w w:val="99"/>
              </w:rPr>
              <w:t>Corp &amp;</w:t>
            </w:r>
          </w:p>
        </w:tc>
        <w:tc>
          <w:tcPr>
            <w:tcW w:w="260" w:type="dxa"/>
            <w:vAlign w:val="bottom"/>
          </w:tcPr>
          <w:p>
            <w:pPr>
              <w:spacing w:after="0"/>
              <w:rPr>
                <w:sz w:val="9"/>
                <w:szCs w:val="9"/>
                <w:color w:val="auto"/>
              </w:rPr>
            </w:pPr>
          </w:p>
        </w:tc>
        <w:tc>
          <w:tcPr>
            <w:tcW w:w="980" w:type="dxa"/>
            <w:vAlign w:val="bottom"/>
            <w:vMerge w:val="restart"/>
          </w:tcPr>
          <w:p>
            <w:pPr>
              <w:jc w:val="right"/>
              <w:ind w:right="302"/>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Fenestration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Fenestration</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Components</w:t>
            </w:r>
          </w:p>
        </w:tc>
        <w:tc>
          <w:tcPr>
            <w:tcW w:w="2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Six months ended April 30, 2025</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31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285,359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109,728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95,047</w:t>
            </w:r>
          </w:p>
        </w:tc>
        <w:tc>
          <w:tcPr>
            <w:tcW w:w="12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365,783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(3,395)</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852,522</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220,327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69,638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81,821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259,539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628,824</w:t>
            </w:r>
          </w:p>
        </w:tc>
        <w:tc>
          <w:tcPr>
            <w:tcW w:w="0" w:type="dxa"/>
            <w:vAlign w:val="bottom"/>
          </w:tcPr>
          <w:p>
            <w:pPr>
              <w:spacing w:after="0"/>
              <w:rPr>
                <w:sz w:val="1"/>
                <w:szCs w:val="1"/>
                <w:color w:val="auto"/>
              </w:rPr>
            </w:pPr>
          </w:p>
        </w:tc>
      </w:tr>
      <w:tr>
        <w:trPr>
          <w:trHeight w:val="225"/>
        </w:trPr>
        <w:tc>
          <w:tcPr>
            <w:tcW w:w="318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65,032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40,090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13,226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106,244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223,698</w:t>
            </w:r>
          </w:p>
        </w:tc>
        <w:tc>
          <w:tcPr>
            <w:tcW w:w="0" w:type="dxa"/>
            <w:vAlign w:val="bottom"/>
          </w:tcPr>
          <w:p>
            <w:pPr>
              <w:spacing w:after="0"/>
              <w:rPr>
                <w:sz w:val="1"/>
                <w:szCs w:val="1"/>
                <w:color w:val="auto"/>
              </w:rPr>
            </w:pPr>
          </w:p>
        </w:tc>
      </w:tr>
      <w:tr>
        <w:trPr>
          <w:trHeight w:val="248"/>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26.2%</w:t>
            </w:r>
          </w:p>
        </w:tc>
        <w:tc>
          <w:tcPr>
            <w:tcW w:w="0" w:type="dxa"/>
            <w:vAlign w:val="bottom"/>
          </w:tcPr>
          <w:p>
            <w:pPr>
              <w:spacing w:after="0"/>
              <w:rPr>
                <w:sz w:val="1"/>
                <w:szCs w:val="1"/>
                <w:color w:val="auto"/>
              </w:rPr>
            </w:pPr>
          </w:p>
        </w:tc>
      </w:tr>
      <w:tr>
        <w:trPr>
          <w:trHeight w:val="221"/>
        </w:trPr>
        <w:tc>
          <w:tcPr>
            <w:tcW w:w="318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32,071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16,959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10,992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71,649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136,983</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Restructuring charges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9,446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5,269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23,038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Asset impairment charges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318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Operating income (loss)</w:t>
            </w: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23,515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17,862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(3,790)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2,717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(6,361)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33,943</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9,446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5,269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6,024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23,038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155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27"/>
        </w:trPr>
        <w:tc>
          <w:tcPr>
            <w:tcW w:w="318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32,961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23,131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2,234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25,755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(6,206)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77,875</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(Cost of sales)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relocation (SG&amp;A)</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247</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Amortization of step-up for</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purchase price adjustments 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inventory and accounts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receivable</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9,007</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Transaction, advisory fees,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and reorganization costs</w:t>
            </w: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4,732</w:t>
            </w: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Restructuring charges related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80" w:type="dxa"/>
            <w:vAlign w:val="bottom"/>
          </w:tcPr>
          <w:p>
            <w:pPr>
              <w:ind w:left="340"/>
              <w:spacing w:after="0" w:line="221" w:lineRule="exact"/>
              <w:rPr>
                <w:sz w:val="20"/>
                <w:szCs w:val="20"/>
                <w:color w:val="auto"/>
              </w:rPr>
            </w:pPr>
            <w:r>
              <w:rPr>
                <w:rFonts w:ascii="Times New Roman" w:cs="Times New Roman" w:eastAsia="Times New Roman" w:hAnsi="Times New Roman"/>
                <w:sz w:val="20"/>
                <w:szCs w:val="20"/>
                <w:color w:val="auto"/>
              </w:rPr>
              <w:t>to severance and disposal of</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1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software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39"/>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34,184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23,131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2,234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45,744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101,677</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11.9%</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Hardware</w:t>
            </w:r>
          </w:p>
        </w:tc>
        <w:tc>
          <w:tcPr>
            <w:tcW w:w="120" w:type="dxa"/>
            <w:vAlign w:val="bottom"/>
          </w:tcPr>
          <w:p>
            <w:pPr>
              <w:spacing w:after="0"/>
              <w:rPr>
                <w:sz w:val="17"/>
                <w:szCs w:val="17"/>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Extruded</w:t>
            </w:r>
          </w:p>
        </w:tc>
        <w:tc>
          <w:tcPr>
            <w:tcW w:w="120" w:type="dxa"/>
            <w:vAlign w:val="bottom"/>
          </w:tcPr>
          <w:p>
            <w:pPr>
              <w:spacing w:after="0"/>
              <w:rPr>
                <w:sz w:val="17"/>
                <w:szCs w:val="1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5"/>
              </w:rPr>
              <w:t>Custom</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7"/>
              </w:rPr>
              <w:t>Unallocated</w:t>
            </w: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ind w:left="120"/>
              <w:spacing w:after="0" w:line="221" w:lineRule="exact"/>
              <w:rPr>
                <w:sz w:val="20"/>
                <w:szCs w:val="20"/>
                <w:color w:val="auto"/>
              </w:rPr>
            </w:pPr>
            <w:r>
              <w:rPr>
                <w:rFonts w:ascii="Times New Roman" w:cs="Times New Roman" w:eastAsia="Times New Roman" w:hAnsi="Times New Roman"/>
                <w:sz w:val="20"/>
                <w:szCs w:val="20"/>
                <w:b w:val="1"/>
                <w:bCs w:val="1"/>
                <w:color w:val="auto"/>
              </w:rPr>
              <w:t>Tyman</w:t>
            </w:r>
          </w:p>
        </w:tc>
        <w:tc>
          <w:tcPr>
            <w:tcW w:w="180" w:type="dxa"/>
            <w:vAlign w:val="bottom"/>
          </w:tcPr>
          <w:p>
            <w:pPr>
              <w:spacing w:after="0"/>
              <w:rPr>
                <w:sz w:val="9"/>
                <w:szCs w:val="9"/>
                <w:color w:val="auto"/>
              </w:rPr>
            </w:pPr>
          </w:p>
        </w:tc>
        <w:tc>
          <w:tcPr>
            <w:tcW w:w="1120" w:type="dxa"/>
            <w:vAlign w:val="bottom"/>
            <w:gridSpan w:val="2"/>
            <w:vMerge w:val="restart"/>
          </w:tcPr>
          <w:p>
            <w:pPr>
              <w:jc w:val="center"/>
              <w:ind w:right="300"/>
              <w:spacing w:after="0" w:line="221" w:lineRule="exact"/>
              <w:rPr>
                <w:sz w:val="20"/>
                <w:szCs w:val="20"/>
                <w:color w:val="auto"/>
              </w:rPr>
            </w:pPr>
            <w:r>
              <w:rPr>
                <w:rFonts w:ascii="Times New Roman" w:cs="Times New Roman" w:eastAsia="Times New Roman" w:hAnsi="Times New Roman"/>
                <w:sz w:val="20"/>
                <w:szCs w:val="20"/>
                <w:b w:val="1"/>
                <w:bCs w:val="1"/>
                <w:color w:val="auto"/>
                <w:w w:val="99"/>
              </w:rPr>
              <w:t>Corp &amp;</w:t>
            </w:r>
          </w:p>
        </w:tc>
        <w:tc>
          <w:tcPr>
            <w:tcW w:w="260" w:type="dxa"/>
            <w:vAlign w:val="bottom"/>
          </w:tcPr>
          <w:p>
            <w:pPr>
              <w:spacing w:after="0"/>
              <w:rPr>
                <w:sz w:val="9"/>
                <w:szCs w:val="9"/>
                <w:color w:val="auto"/>
              </w:rPr>
            </w:pPr>
          </w:p>
        </w:tc>
        <w:tc>
          <w:tcPr>
            <w:tcW w:w="980" w:type="dxa"/>
            <w:vAlign w:val="bottom"/>
            <w:vMerge w:val="restart"/>
          </w:tcPr>
          <w:p>
            <w:pPr>
              <w:jc w:val="right"/>
              <w:ind w:right="302"/>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Solutions(1)</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Solutions(2)</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Solutions(3)</w:t>
            </w:r>
          </w:p>
        </w:tc>
        <w:tc>
          <w:tcPr>
            <w:tcW w:w="2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Six months ended April 30, 2025</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31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387,675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303,597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182,545</w:t>
            </w:r>
          </w:p>
        </w:tc>
        <w:tc>
          <w:tcPr>
            <w:tcW w:w="12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(21,295)</w:t>
            </w:r>
          </w:p>
        </w:tc>
        <w:tc>
          <w:tcPr>
            <w:tcW w:w="100" w:type="dxa"/>
            <w:vAlign w:val="bottom"/>
          </w:tcPr>
          <w:p>
            <w:pPr>
              <w:spacing w:after="0"/>
              <w:rPr>
                <w:sz w:val="21"/>
                <w:szCs w:val="21"/>
                <w:color w:val="auto"/>
              </w:rPr>
            </w:pP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852,522</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296,318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209,317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142,000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(18,811)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628,824</w:t>
            </w:r>
          </w:p>
        </w:tc>
        <w:tc>
          <w:tcPr>
            <w:tcW w:w="0" w:type="dxa"/>
            <w:vAlign w:val="bottom"/>
          </w:tcPr>
          <w:p>
            <w:pPr>
              <w:spacing w:after="0"/>
              <w:rPr>
                <w:sz w:val="1"/>
                <w:szCs w:val="1"/>
                <w:color w:val="auto"/>
              </w:rPr>
            </w:pPr>
          </w:p>
        </w:tc>
      </w:tr>
      <w:tr>
        <w:trPr>
          <w:trHeight w:val="225"/>
        </w:trPr>
        <w:tc>
          <w:tcPr>
            <w:tcW w:w="3180" w:type="dxa"/>
            <w:vAlign w:val="bottom"/>
          </w:tcPr>
          <w:p>
            <w:pPr>
              <w:ind w:left="160"/>
              <w:spacing w:after="0" w:line="225" w:lineRule="exact"/>
              <w:rPr>
                <w:sz w:val="20"/>
                <w:szCs w:val="20"/>
                <w:color w:val="auto"/>
              </w:rPr>
            </w:pPr>
            <w:r>
              <w:rPr>
                <w:rFonts w:ascii="Times New Roman" w:cs="Times New Roman" w:eastAsia="Times New Roman" w:hAnsi="Times New Roman"/>
                <w:sz w:val="20"/>
                <w:szCs w:val="20"/>
                <w:color w:val="auto"/>
              </w:rPr>
              <w:t>Gross Margin</w:t>
            </w: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91,357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2"/>
              <w:spacing w:after="0" w:line="225" w:lineRule="exact"/>
              <w:rPr>
                <w:sz w:val="20"/>
                <w:szCs w:val="20"/>
                <w:color w:val="auto"/>
              </w:rPr>
            </w:pPr>
            <w:r>
              <w:rPr>
                <w:rFonts w:ascii="Times New Roman" w:cs="Times New Roman" w:eastAsia="Times New Roman" w:hAnsi="Times New Roman"/>
                <w:sz w:val="20"/>
                <w:szCs w:val="20"/>
                <w:color w:val="auto"/>
              </w:rPr>
              <w:t>94,280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40,545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82"/>
              <w:spacing w:after="0" w:line="225" w:lineRule="exact"/>
              <w:rPr>
                <w:sz w:val="20"/>
                <w:szCs w:val="20"/>
                <w:color w:val="auto"/>
              </w:rPr>
            </w:pPr>
            <w:r>
              <w:rPr>
                <w:rFonts w:ascii="Times New Roman" w:cs="Times New Roman" w:eastAsia="Times New Roman" w:hAnsi="Times New Roman"/>
                <w:sz w:val="20"/>
                <w:szCs w:val="20"/>
                <w:color w:val="auto"/>
              </w:rPr>
              <w:t>223,698</w:t>
            </w:r>
          </w:p>
        </w:tc>
        <w:tc>
          <w:tcPr>
            <w:tcW w:w="0" w:type="dxa"/>
            <w:vAlign w:val="bottom"/>
          </w:tcPr>
          <w:p>
            <w:pPr>
              <w:spacing w:after="0"/>
              <w:rPr>
                <w:sz w:val="1"/>
                <w:szCs w:val="1"/>
                <w:color w:val="auto"/>
              </w:rPr>
            </w:pPr>
          </w:p>
        </w:tc>
      </w:tr>
      <w:tr>
        <w:trPr>
          <w:trHeight w:val="248"/>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i w:val="1"/>
                <w:iCs w:val="1"/>
                <w:color w:val="auto"/>
              </w:rPr>
              <w:t>Gross Margin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26.2%</w:t>
            </w:r>
          </w:p>
        </w:tc>
        <w:tc>
          <w:tcPr>
            <w:tcW w:w="0" w:type="dxa"/>
            <w:vAlign w:val="bottom"/>
          </w:tcPr>
          <w:p>
            <w:pPr>
              <w:spacing w:after="0"/>
              <w:rPr>
                <w:sz w:val="1"/>
                <w:szCs w:val="1"/>
                <w:color w:val="auto"/>
              </w:rPr>
            </w:pPr>
          </w:p>
        </w:tc>
      </w:tr>
      <w:tr>
        <w:trPr>
          <w:trHeight w:val="221"/>
        </w:trPr>
        <w:tc>
          <w:tcPr>
            <w:tcW w:w="318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Selling, general and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w:t>
            </w:r>
          </w:p>
        </w:tc>
        <w:tc>
          <w:tcPr>
            <w:tcW w:w="120" w:type="dxa"/>
            <w:vAlign w:val="bottom"/>
          </w:tcPr>
          <w:p>
            <w:pPr>
              <w:spacing w:after="0"/>
              <w:rPr>
                <w:sz w:val="22"/>
                <w:szCs w:val="22"/>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65,616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40,181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22,448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8,738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136,983</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2" w:right="339" w:bottom="0" w:gutter="0" w:footer="0" w:header="0"/>
        </w:sectPr>
      </w:pPr>
    </w:p>
    <w:bookmarkStart w:id="12" w:name="page13"/>
    <w:bookmarkEnd w:id="12"/>
    <w:p>
      <w:pPr>
        <w:spacing w:after="0" w:line="1" w:lineRule="exact"/>
        <w:rPr>
          <w:sz w:val="20"/>
          <w:szCs w:val="20"/>
          <w:color w:val="auto"/>
        </w:rPr>
      </w:pPr>
    </w:p>
    <w:tbl>
      <w:tblPr>
        <w:tblLayout w:type="fixed"/>
        <w:tblInd w:w="182" w:type="dxa"/>
        <w:tblCellMar>
          <w:top w:w="0" w:type="dxa"/>
          <w:left w:w="0" w:type="dxa"/>
          <w:bottom w:w="0" w:type="dxa"/>
          <w:right w:w="0" w:type="dxa"/>
        </w:tblCellMar>
      </w:tblPr>
      <w:tr>
        <w:trPr>
          <w:trHeight w:val="24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charges</w:t>
            </w: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7,015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21,831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15,077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10,977</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27"/>
        </w:trPr>
        <w:tc>
          <w:tcPr>
            <w:tcW w:w="30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Operating income (loss)</w:t>
            </w:r>
          </w:p>
        </w:tc>
        <w:tc>
          <w:tcPr>
            <w:tcW w:w="340" w:type="dxa"/>
            <w:vAlign w:val="bottom"/>
          </w:tcPr>
          <w:p>
            <w:pPr>
              <w:spacing w:after="0"/>
              <w:rPr>
                <w:sz w:val="19"/>
                <w:szCs w:val="19"/>
                <w:color w:val="auto"/>
              </w:rPr>
            </w:pPr>
          </w:p>
        </w:tc>
        <w:tc>
          <w:tcPr>
            <w:tcW w:w="940" w:type="dxa"/>
            <w:vAlign w:val="bottom"/>
          </w:tcPr>
          <w:p>
            <w:pPr>
              <w:jc w:val="right"/>
              <w:ind w:right="22"/>
              <w:spacing w:after="0" w:line="227" w:lineRule="exact"/>
              <w:rPr>
                <w:sz w:val="20"/>
                <w:szCs w:val="20"/>
                <w:color w:val="auto"/>
              </w:rPr>
            </w:pPr>
            <w:r>
              <w:rPr>
                <w:rFonts w:ascii="Times New Roman" w:cs="Times New Roman" w:eastAsia="Times New Roman" w:hAnsi="Times New Roman"/>
                <w:sz w:val="20"/>
                <w:szCs w:val="20"/>
                <w:color w:val="auto"/>
              </w:rPr>
              <w:t>(3,105)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39,022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7,120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(9,094)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33,943</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21,831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15,077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10,977</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43,932</w:t>
            </w:r>
          </w:p>
        </w:tc>
        <w:tc>
          <w:tcPr>
            <w:tcW w:w="0" w:type="dxa"/>
            <w:vAlign w:val="bottom"/>
          </w:tcPr>
          <w:p>
            <w:pPr>
              <w:spacing w:after="0"/>
              <w:rPr>
                <w:sz w:val="1"/>
                <w:szCs w:val="1"/>
                <w:color w:val="auto"/>
              </w:rPr>
            </w:pPr>
          </w:p>
        </w:tc>
      </w:tr>
      <w:tr>
        <w:trPr>
          <w:trHeight w:val="227"/>
        </w:trPr>
        <w:tc>
          <w:tcPr>
            <w:tcW w:w="30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EBITDA</w:t>
            </w:r>
          </w:p>
        </w:tc>
        <w:tc>
          <w:tcPr>
            <w:tcW w:w="340" w:type="dxa"/>
            <w:vAlign w:val="bottom"/>
          </w:tcPr>
          <w:p>
            <w:pPr>
              <w:spacing w:after="0"/>
              <w:rPr>
                <w:sz w:val="19"/>
                <w:szCs w:val="19"/>
                <w:color w:val="auto"/>
              </w:rPr>
            </w:pPr>
          </w:p>
        </w:tc>
        <w:tc>
          <w:tcPr>
            <w:tcW w:w="94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18,726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02"/>
              <w:spacing w:after="0" w:line="227" w:lineRule="exact"/>
              <w:rPr>
                <w:sz w:val="20"/>
                <w:szCs w:val="20"/>
                <w:color w:val="auto"/>
              </w:rPr>
            </w:pPr>
            <w:r>
              <w:rPr>
                <w:rFonts w:ascii="Times New Roman" w:cs="Times New Roman" w:eastAsia="Times New Roman" w:hAnsi="Times New Roman"/>
                <w:sz w:val="20"/>
                <w:szCs w:val="20"/>
                <w:color w:val="auto"/>
              </w:rPr>
              <w:t>54,099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18,097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(13,047)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82"/>
              <w:spacing w:after="0" w:line="227" w:lineRule="exact"/>
              <w:rPr>
                <w:sz w:val="20"/>
                <w:szCs w:val="20"/>
                <w:color w:val="auto"/>
              </w:rPr>
            </w:pPr>
            <w:r>
              <w:rPr>
                <w:rFonts w:ascii="Times New Roman" w:cs="Times New Roman" w:eastAsia="Times New Roman" w:hAnsi="Times New Roman"/>
                <w:sz w:val="20"/>
                <w:szCs w:val="20"/>
                <w:color w:val="auto"/>
              </w:rPr>
              <w:t>77,875</w:t>
            </w:r>
          </w:p>
        </w:tc>
        <w:tc>
          <w:tcPr>
            <w:tcW w:w="0" w:type="dxa"/>
            <w:vAlign w:val="bottom"/>
          </w:tcPr>
          <w:p>
            <w:pPr>
              <w:spacing w:after="0"/>
              <w:rPr>
                <w:sz w:val="1"/>
                <w:szCs w:val="1"/>
                <w:color w:val="auto"/>
              </w:rPr>
            </w:pPr>
          </w:p>
        </w:tc>
      </w:tr>
      <w:tr>
        <w:trPr>
          <w:trHeight w:val="221"/>
        </w:trPr>
        <w:tc>
          <w:tcPr>
            <w:tcW w:w="302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relocation (Cost of sales)</w:t>
            </w: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21"/>
        </w:trPr>
        <w:tc>
          <w:tcPr>
            <w:tcW w:w="302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Expense related to plant</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relocation (SG&amp;A)</w:t>
            </w: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247</w:t>
            </w:r>
          </w:p>
        </w:tc>
        <w:tc>
          <w:tcPr>
            <w:tcW w:w="0" w:type="dxa"/>
            <w:vAlign w:val="bottom"/>
          </w:tcPr>
          <w:p>
            <w:pPr>
              <w:spacing w:after="0"/>
              <w:rPr>
                <w:sz w:val="1"/>
                <w:szCs w:val="1"/>
                <w:color w:val="auto"/>
              </w:rPr>
            </w:pPr>
          </w:p>
        </w:tc>
      </w:tr>
      <w:tr>
        <w:trPr>
          <w:trHeight w:val="221"/>
        </w:trPr>
        <w:tc>
          <w:tcPr>
            <w:tcW w:w="302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Amortization of step-up for</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2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purchase price adjustments on</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20" w:type="dxa"/>
            <w:vAlign w:val="bottom"/>
          </w:tcPr>
          <w:p>
            <w:pPr>
              <w:ind w:left="180"/>
              <w:spacing w:after="0" w:line="221" w:lineRule="exact"/>
              <w:rPr>
                <w:sz w:val="20"/>
                <w:szCs w:val="20"/>
                <w:color w:val="auto"/>
              </w:rPr>
            </w:pPr>
            <w:r>
              <w:rPr>
                <w:rFonts w:ascii="Times New Roman" w:cs="Times New Roman" w:eastAsia="Times New Roman" w:hAnsi="Times New Roman"/>
                <w:sz w:val="20"/>
                <w:szCs w:val="20"/>
                <w:color w:val="auto"/>
              </w:rPr>
              <w:t>inventory and accounts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receivable</w:t>
            </w: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7,509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1,146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9,007</w:t>
            </w:r>
          </w:p>
        </w:tc>
        <w:tc>
          <w:tcPr>
            <w:tcW w:w="0" w:type="dxa"/>
            <w:vAlign w:val="bottom"/>
          </w:tcPr>
          <w:p>
            <w:pPr>
              <w:spacing w:after="0"/>
              <w:rPr>
                <w:sz w:val="1"/>
                <w:szCs w:val="1"/>
                <w:color w:val="auto"/>
              </w:rPr>
            </w:pPr>
          </w:p>
        </w:tc>
      </w:tr>
      <w:tr>
        <w:trPr>
          <w:trHeight w:val="246"/>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 and advisory fees</w:t>
            </w: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4,732</w:t>
            </w:r>
          </w:p>
        </w:tc>
        <w:tc>
          <w:tcPr>
            <w:tcW w:w="0" w:type="dxa"/>
            <w:vAlign w:val="bottom"/>
          </w:tcPr>
          <w:p>
            <w:pPr>
              <w:spacing w:after="0"/>
              <w:rPr>
                <w:sz w:val="1"/>
                <w:szCs w:val="1"/>
                <w:color w:val="auto"/>
              </w:rPr>
            </w:pPr>
          </w:p>
        </w:tc>
      </w:tr>
      <w:tr>
        <w:trPr>
          <w:trHeight w:val="258"/>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Restructuring charges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7,015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1,825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8,840</w:t>
            </w: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35,156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54,627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19,243</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101,677</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Adjusted EBITDA Margin %</w:t>
            </w: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0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9.1%</w:t>
            </w:r>
          </w:p>
        </w:tc>
        <w:tc>
          <w:tcPr>
            <w:tcW w:w="1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18.0%</w:t>
            </w:r>
          </w:p>
        </w:tc>
        <w:tc>
          <w:tcPr>
            <w:tcW w:w="1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10.5%</w:t>
            </w:r>
          </w:p>
        </w:tc>
        <w:tc>
          <w:tcPr>
            <w:tcW w:w="1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82" w:hanging="282"/>
        <w:spacing w:after="0"/>
        <w:tabs>
          <w:tab w:leader="none" w:pos="28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Hardware Solutions segment contains a portion of the previously reported NA Fenestration segment.</w:t>
      </w:r>
    </w:p>
    <w:p>
      <w:pPr>
        <w:spacing w:after="0" w:line="13" w:lineRule="exact"/>
        <w:rPr>
          <w:rFonts w:ascii="Times New Roman" w:cs="Times New Roman" w:eastAsia="Times New Roman" w:hAnsi="Times New Roman"/>
          <w:sz w:val="20"/>
          <w:szCs w:val="20"/>
          <w:color w:val="auto"/>
        </w:rPr>
      </w:pPr>
    </w:p>
    <w:p>
      <w:pPr>
        <w:ind w:left="282" w:hanging="282"/>
        <w:spacing w:after="0" w:line="230" w:lineRule="auto"/>
        <w:tabs>
          <w:tab w:leader="none" w:pos="28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Extruded Solutions segment contains a portion of the previously reported NA Fenestration and the EU Fenestration segments.</w:t>
      </w:r>
    </w:p>
    <w:p>
      <w:pPr>
        <w:ind w:left="282" w:hanging="282"/>
        <w:spacing w:after="0"/>
        <w:tabs>
          <w:tab w:leader="none" w:pos="282"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Custom Solutions segment contains a portion of the previously reported NA Fenestration and the NA Cabinet Components segments.</w:t>
      </w:r>
    </w:p>
    <w:p>
      <w:pPr>
        <w:spacing w:after="0" w:line="200" w:lineRule="exact"/>
        <w:rPr>
          <w:sz w:val="20"/>
          <w:szCs w:val="20"/>
          <w:color w:val="auto"/>
        </w:rPr>
      </w:pPr>
    </w:p>
    <w:p>
      <w:pPr>
        <w:spacing w:after="0" w:line="2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QUANEX BUILDING PRODUCTS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SALES ANALYSIS</w:t>
      </w:r>
    </w:p>
    <w:p>
      <w:pPr>
        <w:jc w:val="center"/>
        <w:ind w:right="-1"/>
        <w:spacing w:after="0" w:line="230" w:lineRule="auto"/>
        <w:rPr>
          <w:sz w:val="20"/>
          <w:szCs w:val="20"/>
          <w:color w:val="auto"/>
        </w:rPr>
      </w:pPr>
      <w:r>
        <w:rPr>
          <w:rFonts w:ascii="Times New Roman" w:cs="Times New Roman" w:eastAsia="Times New Roman" w:hAnsi="Times New Roman"/>
          <w:sz w:val="20"/>
          <w:szCs w:val="20"/>
          <w:b w:val="1"/>
          <w:bCs w:val="1"/>
          <w:color w:val="auto"/>
        </w:rPr>
        <w:t>(In thousands)</w:t>
      </w:r>
    </w:p>
    <w:p>
      <w:pPr>
        <w:spacing w:after="0" w:line="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36" w:lineRule="exact"/>
        <w:rPr>
          <w:sz w:val="20"/>
          <w:szCs w:val="20"/>
          <w:color w:val="auto"/>
        </w:rPr>
      </w:pPr>
    </w:p>
    <w:tbl>
      <w:tblPr>
        <w:tblLayout w:type="fixed"/>
        <w:tblInd w:w="22"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Three Months Ended April 30,</w:t>
            </w:r>
          </w:p>
        </w:tc>
        <w:tc>
          <w:tcPr>
            <w:tcW w:w="280" w:type="dxa"/>
            <w:vAlign w:val="bottom"/>
          </w:tcPr>
          <w:p>
            <w:pPr>
              <w:spacing w:after="0"/>
              <w:rPr>
                <w:sz w:val="22"/>
                <w:szCs w:val="22"/>
                <w:color w:val="auto"/>
              </w:rPr>
            </w:pPr>
          </w:p>
        </w:tc>
        <w:tc>
          <w:tcPr>
            <w:tcW w:w="2940" w:type="dxa"/>
            <w:vAlign w:val="bottom"/>
            <w:gridSpan w:val="4"/>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Six Months Ended April 30,</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471"/>
        </w:trPr>
        <w:tc>
          <w:tcPr>
            <w:tcW w:w="4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Hardware Solutions:(1)</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Window and door hardware</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109,377</w:t>
            </w:r>
          </w:p>
        </w:tc>
        <w:tc>
          <w:tcPr>
            <w:tcW w:w="12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104,887</w:t>
            </w:r>
          </w:p>
        </w:tc>
        <w:tc>
          <w:tcPr>
            <w:tcW w:w="12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234,078</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227,240</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Screens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91,482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95,860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154,081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156,414</w:t>
            </w:r>
          </w:p>
        </w:tc>
        <w:tc>
          <w:tcPr>
            <w:tcW w:w="0" w:type="dxa"/>
            <w:vAlign w:val="bottom"/>
          </w:tcPr>
          <w:p>
            <w:pPr>
              <w:spacing w:after="0"/>
              <w:rPr>
                <w:sz w:val="1"/>
                <w:szCs w:val="1"/>
                <w:color w:val="auto"/>
              </w:rPr>
            </w:pPr>
          </w:p>
        </w:tc>
      </w:tr>
      <w:tr>
        <w:trPr>
          <w:trHeight w:val="258"/>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2,160</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2,188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3,972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4,021</w:t>
            </w:r>
          </w:p>
        </w:tc>
        <w:tc>
          <w:tcPr>
            <w:tcW w:w="0" w:type="dxa"/>
            <w:vAlign w:val="bottom"/>
          </w:tcPr>
          <w:p>
            <w:pPr>
              <w:spacing w:after="0"/>
              <w:rPr>
                <w:sz w:val="1"/>
                <w:szCs w:val="1"/>
                <w:color w:val="auto"/>
              </w:rPr>
            </w:pPr>
          </w:p>
        </w:tc>
      </w:tr>
      <w:tr>
        <w:trPr>
          <w:trHeight w:val="25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Extruded Solutions:(2)</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203,019</w:t>
            </w:r>
          </w:p>
        </w:tc>
        <w:tc>
          <w:tcPr>
            <w:tcW w:w="12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202,935</w:t>
            </w:r>
          </w:p>
        </w:tc>
        <w:tc>
          <w:tcPr>
            <w:tcW w:w="12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392,131</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387,675</w:t>
            </w:r>
          </w:p>
        </w:tc>
        <w:tc>
          <w:tcPr>
            <w:tcW w:w="0" w:type="dxa"/>
            <w:vAlign w:val="bottom"/>
          </w:tcPr>
          <w:p>
            <w:pPr>
              <w:spacing w:after="0"/>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Window profiles</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72,542</w:t>
            </w:r>
          </w:p>
        </w:tc>
        <w:tc>
          <w:tcPr>
            <w:tcW w:w="12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70,009</w:t>
            </w:r>
          </w:p>
        </w:tc>
        <w:tc>
          <w:tcPr>
            <w:tcW w:w="12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130,897</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129,854</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Seals and gaskets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19,530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19,401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37,164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37,442</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Spacers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52,526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50,671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100,128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93,532</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Solar</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5,312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12,585</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Flashing Tape</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3,228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3,713</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Window and door hardware</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8,470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20,635</w:t>
            </w:r>
          </w:p>
        </w:tc>
        <w:tc>
          <w:tcPr>
            <w:tcW w:w="0" w:type="dxa"/>
            <w:vAlign w:val="bottom"/>
          </w:tcPr>
          <w:p>
            <w:pPr>
              <w:spacing w:after="0"/>
              <w:rPr>
                <w:sz w:val="1"/>
                <w:szCs w:val="1"/>
                <w:color w:val="auto"/>
              </w:rPr>
            </w:pPr>
          </w:p>
        </w:tc>
      </w:tr>
      <w:tr>
        <w:trPr>
          <w:trHeight w:val="258"/>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3,341</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4,048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5,915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5,836</w:t>
            </w:r>
          </w:p>
        </w:tc>
        <w:tc>
          <w:tcPr>
            <w:tcW w:w="0" w:type="dxa"/>
            <w:vAlign w:val="bottom"/>
          </w:tcPr>
          <w:p>
            <w:pPr>
              <w:spacing w:after="0"/>
              <w:rPr>
                <w:sz w:val="1"/>
                <w:szCs w:val="1"/>
                <w:color w:val="auto"/>
              </w:rPr>
            </w:pPr>
          </w:p>
        </w:tc>
      </w:tr>
      <w:tr>
        <w:trPr>
          <w:trHeight w:val="250"/>
        </w:trPr>
        <w:tc>
          <w:tcPr>
            <w:tcW w:w="4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Custom Solutions:(3)</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164,949</w:t>
            </w:r>
          </w:p>
        </w:tc>
        <w:tc>
          <w:tcPr>
            <w:tcW w:w="12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163,967</w:t>
            </w:r>
          </w:p>
        </w:tc>
        <w:tc>
          <w:tcPr>
            <w:tcW w:w="12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304,749</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303,597</w:t>
            </w:r>
          </w:p>
        </w:tc>
        <w:tc>
          <w:tcPr>
            <w:tcW w:w="0" w:type="dxa"/>
            <w:vAlign w:val="bottom"/>
          </w:tcPr>
          <w:p>
            <w:pPr>
              <w:spacing w:after="0"/>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Wood solutions</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56,906</w:t>
            </w:r>
          </w:p>
        </w:tc>
        <w:tc>
          <w:tcPr>
            <w:tcW w:w="12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51,237</w:t>
            </w:r>
          </w:p>
        </w:tc>
        <w:tc>
          <w:tcPr>
            <w:tcW w:w="12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103,560</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95,047</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Access solutions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26,455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23,880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49,501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46,788</w:t>
            </w:r>
          </w:p>
        </w:tc>
        <w:tc>
          <w:tcPr>
            <w:tcW w:w="0" w:type="dxa"/>
            <w:vAlign w:val="bottom"/>
          </w:tcPr>
          <w:p>
            <w:pPr>
              <w:spacing w:after="0"/>
              <w:rPr>
                <w:sz w:val="1"/>
                <w:szCs w:val="1"/>
                <w:color w:val="auto"/>
              </w:rPr>
            </w:pPr>
          </w:p>
        </w:tc>
      </w:tr>
      <w:tr>
        <w:trPr>
          <w:trHeight w:val="246"/>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Mixing solutions</w:t>
            </w: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20,552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39,994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40,710</w:t>
            </w: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2"/>
                <w:szCs w:val="22"/>
                <w:color w:val="auto"/>
              </w:rPr>
            </w:pP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103,913</w:t>
            </w:r>
          </w:p>
        </w:tc>
        <w:tc>
          <w:tcPr>
            <w:tcW w:w="120" w:type="dxa"/>
            <w:vAlign w:val="bottom"/>
          </w:tcPr>
          <w:p>
            <w:pPr>
              <w:spacing w:after="0"/>
              <w:rPr>
                <w:sz w:val="22"/>
                <w:szCs w:val="22"/>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97,507</w:t>
            </w:r>
          </w:p>
        </w:tc>
        <w:tc>
          <w:tcPr>
            <w:tcW w:w="120" w:type="dxa"/>
            <w:vAlign w:val="bottom"/>
          </w:tcPr>
          <w:p>
            <w:pPr>
              <w:spacing w:after="0"/>
              <w:rPr>
                <w:sz w:val="22"/>
                <w:szCs w:val="22"/>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193,055</w:t>
            </w:r>
          </w:p>
        </w:tc>
        <w:tc>
          <w:tcPr>
            <w:tcW w:w="100" w:type="dxa"/>
            <w:vAlign w:val="bottom"/>
          </w:tcPr>
          <w:p>
            <w:pPr>
              <w:spacing w:after="0"/>
              <w:rPr>
                <w:sz w:val="22"/>
                <w:szCs w:val="22"/>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182,545</w:t>
            </w:r>
          </w:p>
        </w:tc>
        <w:tc>
          <w:tcPr>
            <w:tcW w:w="0" w:type="dxa"/>
            <w:vAlign w:val="bottom"/>
          </w:tcPr>
          <w:p>
            <w:pPr>
              <w:spacing w:after="0"/>
              <w:rPr>
                <w:sz w:val="1"/>
                <w:szCs w:val="1"/>
                <w:color w:val="auto"/>
              </w:rPr>
            </w:pPr>
          </w:p>
        </w:tc>
      </w:tr>
      <w:tr>
        <w:trPr>
          <w:trHeight w:val="480"/>
        </w:trPr>
        <w:tc>
          <w:tcPr>
            <w:tcW w:w="4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Unallocated Corporate &amp; Other:</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Eliminations</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(11,931)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(18,479)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(21,295)</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(9,514)</w:t>
            </w:r>
          </w:p>
        </w:tc>
        <w:tc>
          <w:tcPr>
            <w:tcW w:w="12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(11,931)</w:t>
            </w:r>
          </w:p>
        </w:tc>
        <w:tc>
          <w:tcPr>
            <w:tcW w:w="12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(18,479)</w:t>
            </w:r>
          </w:p>
        </w:tc>
        <w:tc>
          <w:tcPr>
            <w:tcW w:w="100" w:type="dxa"/>
            <w:vAlign w:val="bottom"/>
          </w:tcPr>
          <w:p>
            <w:pPr>
              <w:spacing w:after="0"/>
              <w:rPr>
                <w:sz w:val="21"/>
                <w:szCs w:val="21"/>
                <w:color w:val="auto"/>
              </w:rPr>
            </w:pP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(21,295)</w:t>
            </w: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462,367</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452,478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871,456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852,522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 w:right="200" w:hanging="2"/>
        <w:spacing w:after="0" w:line="242" w:lineRule="auto"/>
        <w:tabs>
          <w:tab w:leader="none" w:pos="2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an increase of $4.4 million and $6.7 million in revenue associated with foreign currency exchange rate impacts for the three and six months ended April 30, 2026, respectively.</w:t>
      </w:r>
    </w:p>
    <w:p>
      <w:pPr>
        <w:ind w:left="2" w:right="200" w:hanging="2"/>
        <w:spacing w:after="0" w:line="230" w:lineRule="auto"/>
        <w:tabs>
          <w:tab w:leader="none" w:pos="2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an increase of $5.9 million and $8.6 million in revenue associated with foreign currency exchange rate impacts for the three and six months ended April 30, 2026, respectively.</w:t>
      </w:r>
    </w:p>
    <w:p>
      <w:pPr>
        <w:spacing w:after="0" w:line="1" w:lineRule="exact"/>
        <w:rPr>
          <w:rFonts w:ascii="Times New Roman" w:cs="Times New Roman" w:eastAsia="Times New Roman" w:hAnsi="Times New Roman"/>
          <w:sz w:val="20"/>
          <w:szCs w:val="20"/>
          <w:color w:val="auto"/>
        </w:rPr>
      </w:pPr>
    </w:p>
    <w:p>
      <w:pPr>
        <w:ind w:left="2" w:right="200" w:hanging="2"/>
        <w:spacing w:after="0" w:line="238" w:lineRule="auto"/>
        <w:tabs>
          <w:tab w:leader="none" w:pos="2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an increase of $0.5 million and $0.3 million in revenue associated with foreign currency exchange rate impacts for the three and six months ended April 30, 2026, respectively.</w:t>
      </w:r>
    </w:p>
    <w:sectPr>
      <w:pgSz w:w="11900" w:h="16838" w:orient="portrait"/>
      <w:cols w:equalWidth="0" w:num="1">
        <w:col w:w="11242"/>
      </w:cols>
      <w:pgMar w:left="318" w:top="116" w:right="339" w:bottom="5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2026-06-04T15:31:01Z</dcterms:created>
  <dcterms:modified xsi:type="dcterms:W3CDTF">2026-06-04T15:31:01Z</dcterms:modified>
</cp:coreProperties>
</file>