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Hughes Bradley E.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 BUNKER HILL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Quanex Building Products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6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61"/>
        <w:gridCol w:w="276"/>
        <w:gridCol w:w="906"/>
        <w:gridCol w:w="801"/>
        <w:gridCol w:w="891"/>
        <w:gridCol w:w="981"/>
        <w:gridCol w:w="801"/>
        <w:gridCol w:w="1131"/>
        <w:gridCol w:w="831"/>
        <w:gridCol w:w="846"/>
      </w:tblGrid>
      <w:tr>
        <w:trPr>
          <w:tblHeader w:val="true"/>
        </w:trPr>
        <w:tc>
          <w:tcPr>
            <w:tcW w:w="126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3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1,651.42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1,651.42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19.68</w:t>
            </w:r>
          </w:p>
        </w:tc>
        <w:tc>
          <w:tcPr>
            <w:tcW w:w="11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19,295.958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is the economic equivalent of one share of common stock. Distributions under the Deferred Compensation Plan are made in cash beginning on a specified date selected by the participant or upon the participant's death, disability, or termination of service as a director.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Units credited to the participant's account under the Deferred Compensation Plan as a result of deferral of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75.485 phantom stock units credited to the participant's account as a result of automatic dividend reinvestment.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Paul B. Cornett,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6457" TargetMode="External"/><Relationship Id="rId5" Type="http://schemas.openxmlformats.org/officeDocument/2006/relationships/hyperlink" Target="http://www.sec.gov/cgi-bin/browse-edgar?action=getcompany&amp;CIK=00014232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3574</Characters>
  <CharactersWithSpaces>4157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