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52826.htm"/>
      <w:bookmarkStart w:id="1" w:name="ksf8k_0528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May 28, 2026</w:t>
      </w:r>
    </w:p>
    <w:p>
      <w:pPr>
        <w:pStyle w:val="TextBody"/>
        <w:bidi w:val="0"/>
        <w:jc w:val="center"/>
        <w:rPr/>
      </w:pPr>
      <w:r>
        <w:rPr/>
        <w:t>_______________________________</w:t>
      </w:r>
    </w:p>
    <w:p>
      <w:pPr>
        <w:pStyle w:val="TextBody"/>
        <w:bidi w:val="0"/>
        <w:spacing w:before="120" w:after="283"/>
        <w:jc w:val="center"/>
        <w:rPr>
          <w:b/>
          <w:sz w:val="24"/>
        </w:rPr>
      </w:pPr>
      <w:r>
        <w:rPr>
          <w:b/>
          <w:sz w:val="24"/>
        </w:rPr>
        <w:t>Quanex Building Products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001-33913</w:t>
            </w:r>
          </w:p>
        </w:tc>
        <w:tc>
          <w:tcPr>
            <w:tcW w:w="2900" w:type="dxa"/>
            <w:tcBorders/>
            <w:vAlign w:val="center"/>
          </w:tcPr>
          <w:p>
            <w:pPr>
              <w:pStyle w:val="TableContents"/>
              <w:bidi w:val="0"/>
              <w:spacing w:before="0" w:after="283"/>
              <w:jc w:val="center"/>
              <w:rPr>
                <w:b/>
                <w:sz w:val="20"/>
              </w:rPr>
            </w:pPr>
            <w:r>
              <w:rPr>
                <w:b/>
                <w:sz w:val="20"/>
              </w:rPr>
              <w:t>26-1561397</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945 Bunker Hill Road, Suite 900</w:t>
      </w:r>
    </w:p>
    <w:p>
      <w:pPr>
        <w:pStyle w:val="TextBody"/>
        <w:bidi w:val="0"/>
        <w:spacing w:before="0" w:after="0"/>
        <w:jc w:val="center"/>
        <w:rPr>
          <w:b/>
          <w:sz w:val="20"/>
        </w:rPr>
      </w:pPr>
      <w:r>
        <w:rPr>
          <w:b/>
          <w:sz w:val="20"/>
        </w:rPr>
        <w:t>Houston, Texas 77024</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(713) 961-4600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505" w:type="dxa"/>
        <w:jc w:val="left"/>
        <w:tblInd w:w="0" w:type="dxa"/>
        <w:tblLayout w:type="fixed"/>
        <w:tblCellMar>
          <w:top w:w="0" w:type="dxa"/>
          <w:left w:w="0" w:type="dxa"/>
          <w:bottom w:w="28" w:type="dxa"/>
          <w:right w:w="0" w:type="dxa"/>
        </w:tblCellMar>
      </w:tblPr>
      <w:tblGrid>
        <w:gridCol w:w="3395"/>
        <w:gridCol w:w="1535"/>
        <w:gridCol w:w="3575"/>
      </w:tblGrid>
      <w:tr>
        <w:trPr/>
        <w:tc>
          <w:tcPr>
            <w:tcW w:w="339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395" w:type="dxa"/>
            <w:tcBorders/>
            <w:tcMar>
              <w:bottom w:w="0" w:type="dxa"/>
            </w:tcMar>
            <w:vAlign w:val="center"/>
          </w:tcPr>
          <w:p>
            <w:pPr>
              <w:pStyle w:val="TableContents"/>
              <w:bidi w:val="0"/>
              <w:spacing w:before="0" w:after="283"/>
              <w:jc w:val="center"/>
              <w:rPr>
                <w:sz w:val="20"/>
              </w:rPr>
            </w:pPr>
            <w:r>
              <w:rPr>
                <w:sz w:val="20"/>
              </w:rPr>
              <w:t>Common Stock, par value $0.01 per share</w:t>
            </w:r>
          </w:p>
        </w:tc>
        <w:tc>
          <w:tcPr>
            <w:tcW w:w="1535" w:type="dxa"/>
            <w:tcBorders/>
            <w:tcMar>
              <w:bottom w:w="0" w:type="dxa"/>
            </w:tcMar>
            <w:vAlign w:val="center"/>
          </w:tcPr>
          <w:p>
            <w:pPr>
              <w:pStyle w:val="TableContents"/>
              <w:bidi w:val="0"/>
              <w:spacing w:before="0" w:after="283"/>
              <w:jc w:val="center"/>
              <w:rPr>
                <w:sz w:val="20"/>
              </w:rPr>
            </w:pPr>
            <w:r>
              <w:rPr>
                <w:sz w:val="20"/>
              </w:rPr>
              <w:t>NX</w:t>
            </w:r>
          </w:p>
        </w:tc>
        <w:tc>
          <w:tcPr>
            <w:tcW w:w="3575" w:type="dxa"/>
            <w:tcBorders/>
            <w:tcMar>
              <w:bottom w:w="0" w:type="dxa"/>
            </w:tcMar>
            <w:vAlign w:val="center"/>
          </w:tcPr>
          <w:p>
            <w:pPr>
              <w:pStyle w:val="TableContents"/>
              <w:bidi w:val="0"/>
              <w:spacing w:before="0" w:after="283"/>
              <w:jc w:val="center"/>
              <w:rPr>
                <w:sz w:val="20"/>
              </w:rPr>
            </w:pPr>
            <w:r>
              <w:rPr>
                <w:sz w:val="20"/>
              </w:rPr>
              <w:t>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283"/>
        <w:jc w:val="left"/>
        <w:rPr/>
      </w:pPr>
      <w:r>
        <w:rPr/>
        <w:t> </w:t>
      </w:r>
    </w:p>
    <w:p>
      <w:pPr>
        <w:pStyle w:val="TextBody"/>
        <w:bidi w:val="0"/>
        <w:jc w:val="left"/>
        <w:rPr>
          <w:sz w:val="20"/>
        </w:rPr>
      </w:pPr>
      <w:r>
        <w:rPr>
          <w:sz w:val="20"/>
        </w:rPr>
        <w:t>On May 28, 2026, the Registrant issued a press release announcing that the Board declared a quarterly cash dividend of $0.08 per share on the Company’s common stock, payable June 30, 2026, to shareholders of record on June 15, 2026. A copy of the press release is attached hereto as Exhibit 99.1 and incorporated herein by reference.</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tbl>
      <w:tblPr>
        <w:tblW w:w="8110" w:type="dxa"/>
        <w:jc w:val="left"/>
        <w:tblInd w:w="0" w:type="dxa"/>
        <w:tblLayout w:type="fixed"/>
        <w:tblCellMar>
          <w:top w:w="0" w:type="dxa"/>
          <w:left w:w="0" w:type="dxa"/>
          <w:bottom w:w="0" w:type="dxa"/>
          <w:right w:w="0" w:type="dxa"/>
        </w:tblCellMar>
      </w:tblPr>
      <w:tblGrid>
        <w:gridCol w:w="440"/>
        <w:gridCol w:w="60"/>
        <w:gridCol w:w="7610"/>
      </w:tblGrid>
      <w:tr>
        <w:trPr/>
        <w:tc>
          <w:tcPr>
            <w:tcW w:w="440" w:type="dxa"/>
            <w:tcBorders/>
            <w:vAlign w:val="center"/>
          </w:tcPr>
          <w:p>
            <w:pPr>
              <w:pStyle w:val="TableContents"/>
              <w:bidi w:val="0"/>
              <w:spacing w:before="0" w:after="283"/>
              <w:jc w:val="left"/>
              <w:rPr/>
            </w:pPr>
            <w:hyperlink w:anchor="exh_991.htm">
              <w:r>
                <w:rPr>
                  <w:rStyle w:val="InternetLink"/>
                </w:rPr>
                <w:t>99.1</w:t>
              </w:r>
            </w:hyperlink>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hyperlink w:anchor="exh_991.htm">
              <w:r>
                <w:rPr>
                  <w:rStyle w:val="InternetLink"/>
                </w:rPr>
                <w:t>Press Release dated May 28, 2026</w:t>
              </w:r>
            </w:hyperlink>
          </w:p>
        </w:tc>
      </w:tr>
      <w:tr>
        <w:trPr/>
        <w:tc>
          <w:tcPr>
            <w:tcW w:w="44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004" w:type="dxa"/>
        <w:jc w:val="left"/>
        <w:tblInd w:w="0" w:type="dxa"/>
        <w:tblLayout w:type="fixed"/>
        <w:tblCellMar>
          <w:top w:w="0" w:type="dxa"/>
          <w:left w:w="0" w:type="dxa"/>
          <w:bottom w:w="0" w:type="dxa"/>
          <w:right w:w="0" w:type="dxa"/>
        </w:tblCellMar>
      </w:tblPr>
      <w:tblGrid>
        <w:gridCol w:w="1640"/>
        <w:gridCol w:w="485"/>
        <w:gridCol w:w="2879"/>
      </w:tblGrid>
      <w:tr>
        <w:trPr/>
        <w:tc>
          <w:tcPr>
            <w:tcW w:w="1640"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b/>
                <w:sz w:val="20"/>
              </w:rPr>
            </w:pPr>
            <w:r>
              <w:rPr>
                <w:b/>
                <w:sz w:val="20"/>
              </w:rPr>
              <w:t>Quanex Building Products Corporation</w:t>
            </w:r>
          </w:p>
        </w:tc>
      </w:tr>
      <w:tr>
        <w:trPr/>
        <w:tc>
          <w:tcPr>
            <w:tcW w:w="164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283"/>
              <w:jc w:val="left"/>
              <w:rPr>
                <w:sz w:val="20"/>
              </w:rPr>
            </w:pPr>
            <w:r>
              <w:rPr>
                <w:sz w:val="20"/>
              </w:rPr>
              <w:t>Date: May 28, 2026</w:t>
            </w:r>
          </w:p>
        </w:tc>
        <w:tc>
          <w:tcPr>
            <w:tcW w:w="485" w:type="dxa"/>
            <w:tcBorders/>
            <w:vAlign w:val="center"/>
          </w:tcPr>
          <w:p>
            <w:pPr>
              <w:pStyle w:val="TableContents"/>
              <w:bidi w:val="0"/>
              <w:spacing w:before="0" w:after="283"/>
              <w:jc w:val="left"/>
              <w:rPr>
                <w:sz w:val="20"/>
              </w:rPr>
            </w:pPr>
            <w:r>
              <w:rPr>
                <w:sz w:val="20"/>
              </w:rPr>
              <w:t>By: </w:t>
            </w:r>
          </w:p>
        </w:tc>
        <w:tc>
          <w:tcPr>
            <w:tcW w:w="2879" w:type="dxa"/>
            <w:tcBorders/>
            <w:vAlign w:val="center"/>
          </w:tcPr>
          <w:p>
            <w:pPr>
              <w:pStyle w:val="TableContents"/>
              <w:bidi w:val="0"/>
              <w:spacing w:before="0" w:after="283"/>
              <w:jc w:val="left"/>
              <w:rPr>
                <w:sz w:val="20"/>
                <w:u w:val="single"/>
              </w:rPr>
            </w:pPr>
            <w:r>
              <w:rPr>
                <w:sz w:val="20"/>
                <w:u w:val="single"/>
              </w:rPr>
              <w:t>/s/ SCOTT ZUEHLKE        </w:t>
            </w:r>
          </w:p>
        </w:tc>
      </w:tr>
      <w:tr>
        <w:trPr/>
        <w:tc>
          <w:tcPr>
            <w:tcW w:w="164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sz w:val="20"/>
              </w:rPr>
            </w:pPr>
            <w:r>
              <w:rPr>
                <w:sz w:val="20"/>
              </w:rPr>
              <w:t>Scott Zuehlke</w:t>
            </w:r>
          </w:p>
        </w:tc>
      </w:tr>
      <w:tr>
        <w:trPr/>
        <w:tc>
          <w:tcPr>
            <w:tcW w:w="164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sz w:val="20"/>
              </w:rPr>
            </w:pPr>
            <w:r>
              <w:rPr>
                <w:sz w:val="20"/>
              </w:rPr>
              <w:t>SVP, CFO and Treasurer</w:t>
            </w:r>
          </w:p>
        </w:tc>
      </w:tr>
      <w:tr>
        <w:trPr/>
        <w:tc>
          <w:tcPr>
            <w:tcW w:w="164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Quanex Building Products Declares Quarterly Dividend</w:t>
      </w:r>
    </w:p>
    <w:p>
      <w:pPr>
        <w:pStyle w:val="TextBody"/>
        <w:bidi w:val="0"/>
        <w:jc w:val="both"/>
        <w:rPr/>
      </w:pPr>
      <w:r>
        <w:rPr/>
        <w:t xml:space="preserve">HOUSTON, May 28, 2026 (GLOBE NEWSWIRE) -- </w:t>
      </w:r>
      <w:r>
        <w:rPr>
          <w:rStyle w:val="StrongEmphasis"/>
          <w:u w:val="single"/>
        </w:rPr>
        <w:t>Quanex Building Products Corporation</w:t>
      </w:r>
      <w:r>
        <w:rPr/>
        <w:t xml:space="preserve"> (NYSE:NX) (“Quanex” or the “Company”) today announced that its Board of Directors declared a quarterly cash dividend of $0.08 per share on the Company’s common stock, payable June 30, 2026, to shareholders of record on June 15, 2026.</w:t>
      </w:r>
    </w:p>
    <w:p>
      <w:pPr>
        <w:pStyle w:val="TextBody"/>
        <w:bidi w:val="0"/>
        <w:jc w:val="both"/>
        <w:rPr/>
      </w:pPr>
      <w:r>
        <w:rPr>
          <w:rStyle w:val="StrongEmphasis"/>
        </w:rPr>
        <w:t xml:space="preserve">About Quanex </w:t>
      </w:r>
    </w:p>
    <w:p>
      <w:pPr>
        <w:pStyle w:val="TextBody"/>
        <w:bidi w:val="0"/>
        <w:jc w:val="both"/>
        <w:rPr/>
      </w:pPr>
      <w:r>
        <w:rPr/>
        <w:t>Quanex is a global manufacturer with core capabilities and broad applications across various end markets. The Company currently collaborates and partners with leading OEMs to provide innovative solutions in the window, door, solar, refrigeration, custom mixing, building access and cabinetry markets. Looking ahead, Quanex plans to leverage its material science expertise and process engineering to expand into adjacent markets.</w:t>
      </w:r>
    </w:p>
    <w:p>
      <w:pPr>
        <w:pStyle w:val="TextBody"/>
        <w:bidi w:val="0"/>
        <w:jc w:val="both"/>
        <w:rPr/>
      </w:pPr>
      <w:r>
        <w:rPr>
          <w:rStyle w:val="StrongEmphasis"/>
        </w:rPr>
        <w:t>Contact:</w:t>
      </w:r>
    </w:p>
    <w:p>
      <w:pPr>
        <w:pStyle w:val="TextBody"/>
        <w:bidi w:val="0"/>
        <w:spacing w:before="0" w:after="283"/>
        <w:jc w:val="left"/>
        <w:rPr/>
      </w:pPr>
      <w:r>
        <w:rPr/>
        <w:t>Scott Zuehlke</w:t>
        <w:br/>
        <w:t>SVP, Chief Financial Officer &amp; Treasurer</w:t>
        <w:br/>
        <w:t>713-877-5327</w:t>
        <w:br/>
        <w:t>scott.zuehlke@quanex.com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573</Words>
  <Characters>3306</Characters>
  <CharactersWithSpaces>3851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